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C" w:rsidRPr="00891E8C" w:rsidRDefault="00891E8C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Fonts w:ascii="Marianne" w:hAnsi="Marianne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2867660</wp:posOffset>
                </wp:positionH>
                <wp:positionV relativeFrom="paragraph">
                  <wp:posOffset>-38100</wp:posOffset>
                </wp:positionV>
                <wp:extent cx="3829050" cy="98425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1E8C" w:rsidRPr="00891E8C" w:rsidRDefault="00891E8C" w:rsidP="00891E8C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891E8C">
                              <w:rPr>
                                <w:rStyle w:val="markedcontent"/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  <w:t>Inspection de l’éducation nationale du second degré</w:t>
                            </w:r>
                            <w:r w:rsidRPr="00891E8C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91E8C">
                              <w:rPr>
                                <w:rStyle w:val="markedcontent"/>
                                <w:rFonts w:ascii="Marianne" w:hAnsi="Marianne" w:cs="Arial"/>
                                <w:b/>
                                <w:sz w:val="20"/>
                                <w:szCs w:val="20"/>
                              </w:rPr>
                              <w:t>Enseignement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5.8pt;margin-top:-3pt;width:301.5pt;height:7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" filled="f" stroked="f" strokeweight=".5pt">
                <v:textbox>
                  <w:txbxContent>
                    <w:p w:rsidR="00891E8C" w:rsidRPr="00891E8C" w:rsidRDefault="00891E8C" w:rsidP="00891E8C">
                      <w:pPr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891E8C">
                        <w:rPr>
                          <w:rStyle w:val="markedcontent"/>
                          <w:rFonts w:ascii="Marianne" w:hAnsi="Marianne" w:cs="Arial"/>
                          <w:b/>
                          <w:sz w:val="20"/>
                          <w:szCs w:val="20"/>
                        </w:rPr>
                        <w:t>Inspection de l’éducation nationale du second degré</w:t>
                      </w:r>
                      <w:r w:rsidRPr="00891E8C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br/>
                      </w:r>
                      <w:r w:rsidRPr="00891E8C">
                        <w:rPr>
                          <w:rStyle w:val="markedcontent"/>
                          <w:rFonts w:ascii="Marianne" w:hAnsi="Marianne" w:cs="Arial"/>
                          <w:b/>
                          <w:sz w:val="20"/>
                          <w:szCs w:val="20"/>
                        </w:rPr>
                        <w:t>Enseignement technique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1E8C">
        <w:rPr>
          <w:rFonts w:ascii="Marianne" w:hAnsi="Marianne" w:cs="Arial"/>
          <w:noProof/>
          <w:sz w:val="20"/>
          <w:szCs w:val="20"/>
          <w:lang w:eastAsia="fr-FR"/>
        </w:rPr>
        <w:drawing>
          <wp:inline distT="0" distB="0" distL="0" distR="0">
            <wp:extent cx="1130300" cy="10347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ac-ly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9901" b="9653"/>
                    <a:stretch/>
                  </pic:blipFill>
                  <pic:spPr bwMode="auto">
                    <a:xfrm>
                      <a:off x="0" y="0"/>
                      <a:ext cx="1141837" cy="1045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E8C" w:rsidRPr="00891E8C" w:rsidRDefault="00891E8C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</w:p>
    <w:p w:rsidR="00891E8C" w:rsidRPr="00891E8C" w:rsidRDefault="00891E8C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</w:p>
    <w:p w:rsidR="00891E8C" w:rsidRPr="00891E8C" w:rsidRDefault="00891E8C" w:rsidP="00F53F7A">
      <w:pPr>
        <w:spacing w:after="0" w:line="240" w:lineRule="auto"/>
        <w:jc w:val="center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b/>
          <w:sz w:val="24"/>
          <w:szCs w:val="24"/>
        </w:rPr>
        <w:t>Nouveau Livret Scolaire du Lycée professionnel</w:t>
      </w:r>
      <w:r w:rsidRPr="00891E8C">
        <w:rPr>
          <w:rFonts w:ascii="Marianne" w:hAnsi="Marianne"/>
          <w:b/>
          <w:sz w:val="24"/>
          <w:szCs w:val="24"/>
        </w:rPr>
        <w:br/>
      </w:r>
      <w:r w:rsidRPr="00891E8C">
        <w:rPr>
          <w:rStyle w:val="markedcontent"/>
          <w:rFonts w:ascii="Marianne" w:hAnsi="Marianne" w:cs="Arial"/>
          <w:b/>
          <w:sz w:val="24"/>
          <w:szCs w:val="24"/>
        </w:rPr>
        <w:t>Accompagnement pédagogique de l’évaluation en Economie</w:t>
      </w:r>
      <w:r w:rsidRPr="00891E8C">
        <w:rPr>
          <w:rFonts w:ascii="Marianne" w:hAnsi="Marianne"/>
          <w:b/>
          <w:sz w:val="24"/>
          <w:szCs w:val="24"/>
        </w:rPr>
        <w:br/>
      </w:r>
      <w:r w:rsidRPr="00891E8C">
        <w:rPr>
          <w:rStyle w:val="markedcontent"/>
          <w:rFonts w:ascii="Marianne" w:hAnsi="Marianne" w:cs="Arial"/>
          <w:b/>
          <w:sz w:val="24"/>
          <w:szCs w:val="24"/>
        </w:rPr>
        <w:t>gestion secteur de la production</w:t>
      </w:r>
      <w:r w:rsidRPr="00891E8C">
        <w:rPr>
          <w:rFonts w:ascii="Marianne" w:hAnsi="Marianne"/>
          <w:b/>
          <w:sz w:val="24"/>
          <w:szCs w:val="24"/>
        </w:rPr>
        <w:br/>
      </w:r>
    </w:p>
    <w:p w:rsidR="00891E8C" w:rsidRDefault="00891E8C" w:rsidP="00F53F7A">
      <w:pPr>
        <w:spacing w:after="0" w:line="240" w:lineRule="auto"/>
        <w:jc w:val="both"/>
        <w:rPr>
          <w:rStyle w:val="markedcontent"/>
          <w:rFonts w:ascii="Marianne" w:hAnsi="Marianne" w:cs="Arial"/>
          <w:sz w:val="20"/>
          <w:szCs w:val="20"/>
        </w:rPr>
      </w:pPr>
    </w:p>
    <w:p w:rsidR="00891E8C" w:rsidRDefault="00891E8C" w:rsidP="00F53F7A">
      <w:pPr>
        <w:spacing w:after="0" w:line="240" w:lineRule="auto"/>
        <w:jc w:val="both"/>
        <w:rPr>
          <w:rStyle w:val="markedcontent"/>
          <w:rFonts w:ascii="Marianne" w:hAnsi="Marianne" w:cs="Arial"/>
          <w:sz w:val="20"/>
          <w:szCs w:val="20"/>
        </w:rPr>
      </w:pPr>
    </w:p>
    <w:p w:rsidR="00891E8C" w:rsidRDefault="00891E8C" w:rsidP="00F53F7A">
      <w:pPr>
        <w:spacing w:after="0" w:line="240" w:lineRule="auto"/>
        <w:jc w:val="both"/>
        <w:rPr>
          <w:rStyle w:val="markedcontent"/>
          <w:rFonts w:ascii="Marianne" w:hAnsi="Marianne" w:cs="Arial"/>
          <w:sz w:val="20"/>
          <w:szCs w:val="20"/>
        </w:rPr>
      </w:pPr>
    </w:p>
    <w:p w:rsid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L’arrêté du 17 juin 2020 publié au journal officiel du 05 juillet 2020 et au Bulletin Officiel de</w:t>
      </w:r>
      <w:r>
        <w:rPr>
          <w:rStyle w:val="markedcontent"/>
          <w:rFonts w:ascii="Marianne" w:hAnsi="Marianne" w:cs="Arial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l’éducation nationale numéro 28 du 10 juillet 2020 étend la dématérialisation du Livret</w:t>
      </w:r>
      <w:r>
        <w:rPr>
          <w:rStyle w:val="markedcontent"/>
          <w:rFonts w:ascii="Marianne" w:hAnsi="Marianne" w:cs="Arial"/>
          <w:sz w:val="20"/>
          <w:szCs w:val="20"/>
        </w:rPr>
        <w:t xml:space="preserve"> S</w:t>
      </w:r>
      <w:r w:rsidRPr="00891E8C">
        <w:rPr>
          <w:rStyle w:val="markedcontent"/>
          <w:rFonts w:ascii="Marianne" w:hAnsi="Marianne" w:cs="Arial"/>
          <w:sz w:val="20"/>
          <w:szCs w:val="20"/>
        </w:rPr>
        <w:t>colaire Lycéen à l’examen du baccalauréat professionnel. Dès cette année scolaire 2020-2021 il convient donc de compléter le LSL pro pour les élèves de première professionnelle</w:t>
      </w:r>
      <w:r>
        <w:rPr>
          <w:rStyle w:val="markedcontent"/>
          <w:rFonts w:ascii="Marianne" w:hAnsi="Marianne" w:cs="Arial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en vue de la session du baccalauréat professionnel 2022 et de la délivrance d’une attestation</w:t>
      </w:r>
      <w:r>
        <w:rPr>
          <w:rStyle w:val="markedcontent"/>
          <w:rFonts w:ascii="Marianne" w:hAnsi="Marianne" w:cs="Arial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de réussite qui se substitue aux certifications intermédiaires (CAP ou BEP).</w:t>
      </w:r>
      <w:r>
        <w:rPr>
          <w:rStyle w:val="markedcontent"/>
          <w:rFonts w:ascii="Marianne" w:hAnsi="Marianne" w:cs="Arial"/>
          <w:sz w:val="20"/>
          <w:szCs w:val="20"/>
        </w:rPr>
        <w:t xml:space="preserve"> </w:t>
      </w:r>
    </w:p>
    <w:p w:rsidR="00891E8C" w:rsidRP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b/>
          <w:sz w:val="20"/>
          <w:szCs w:val="20"/>
        </w:rPr>
      </w:pPr>
      <w:r w:rsidRPr="00891E8C">
        <w:rPr>
          <w:rStyle w:val="markedcontent"/>
          <w:rFonts w:ascii="Marianne" w:hAnsi="Marianne" w:cs="Arial"/>
          <w:b/>
          <w:sz w:val="20"/>
          <w:szCs w:val="20"/>
        </w:rPr>
        <w:t>Pour les baccalauréats professionnels du secteur de la production les cinq compétences</w:t>
      </w:r>
      <w:r w:rsidRPr="00891E8C">
        <w:rPr>
          <w:rStyle w:val="markedcontent"/>
          <w:rFonts w:ascii="Marianne" w:hAnsi="Marianne" w:cs="Arial"/>
          <w:b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b/>
          <w:sz w:val="20"/>
          <w:szCs w:val="20"/>
        </w:rPr>
        <w:t>identifiées dans le LSL Pro sont celle de la discipline « Economie-Gestion :</w:t>
      </w:r>
      <w:r w:rsidRPr="00891E8C">
        <w:rPr>
          <w:rStyle w:val="markedcontent"/>
          <w:rFonts w:ascii="Marianne" w:hAnsi="Marianne" w:cs="Arial"/>
          <w:b/>
          <w:sz w:val="20"/>
          <w:szCs w:val="20"/>
        </w:rPr>
        <w:t xml:space="preserve"> 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Exploiter des données numériques de nature économique ou de gestion en lien avec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la situation d'une entreprise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Identifier des outils de gestion permettant d'expliciter un choix opéré par une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entreprise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Qualifier le cadre juridique et réglementaire d'une relation de travail donnée.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Repérer les différentes formes d'organisation et expliquer les évolutions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organisationnelles liées aux environnements numériques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Style w:val="markedcontent"/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Construire à l'écrit et à l'oral une réponse argumentée à une question posée.</w:t>
      </w:r>
      <w:r w:rsidRPr="00891E8C">
        <w:rPr>
          <w:rStyle w:val="markedcontent"/>
          <w:rFonts w:ascii="Marianne" w:hAnsi="Marianne" w:cs="Arial"/>
          <w:sz w:val="20"/>
          <w:szCs w:val="20"/>
        </w:rPr>
        <w:t xml:space="preserve"> </w:t>
      </w:r>
    </w:p>
    <w:p w:rsidR="00891E8C" w:rsidRPr="00891E8C" w:rsidRDefault="00891E8C" w:rsidP="00F53F7A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L’évaluation des compétences d’économie gestion pour les baccalauréats</w:t>
      </w:r>
      <w:r w:rsidRPr="00891E8C">
        <w:rPr>
          <w:rStyle w:val="markedcontent"/>
          <w:rFonts w:ascii="Marianne" w:hAnsi="Marianne" w:cs="Arial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professionnels du secteur de la production s’appuie sur le programme publié au bulletin</w:t>
      </w:r>
      <w:r w:rsidRPr="00891E8C">
        <w:rPr>
          <w:rFonts w:ascii="Marianne" w:hAnsi="Marianne"/>
          <w:sz w:val="20"/>
          <w:szCs w:val="20"/>
        </w:rPr>
        <w:t xml:space="preserve"> o</w:t>
      </w:r>
      <w:r w:rsidRPr="00891E8C">
        <w:rPr>
          <w:rStyle w:val="markedcontent"/>
          <w:rFonts w:ascii="Marianne" w:hAnsi="Marianne" w:cs="Arial"/>
          <w:sz w:val="20"/>
          <w:szCs w:val="20"/>
        </w:rPr>
        <w:t>fficiel spécial n° 5 du 11 avril 2019 et sur le LSL pro publié au BO du 10/07/2020.</w:t>
      </w:r>
    </w:p>
    <w:p w:rsidR="00891E8C" w:rsidRPr="00891E8C" w:rsidRDefault="00891E8C" w:rsidP="00F53F7A">
      <w:pPr>
        <w:spacing w:line="280" w:lineRule="exact"/>
        <w:jc w:val="both"/>
        <w:rPr>
          <w:rFonts w:ascii="Marianne" w:hAnsi="Marianne"/>
          <w:b/>
          <w:sz w:val="20"/>
          <w:szCs w:val="20"/>
        </w:rPr>
      </w:pPr>
      <w:r w:rsidRPr="00891E8C">
        <w:rPr>
          <w:rStyle w:val="markedcontent"/>
          <w:rFonts w:ascii="Marianne" w:hAnsi="Marianne" w:cs="Arial"/>
          <w:b/>
          <w:sz w:val="20"/>
          <w:szCs w:val="20"/>
        </w:rPr>
        <w:t>Quatre niveaux de maîtrise permettent de réaliser le positionnement en fonction des acquis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le niveau 1 - non-maîtrisé - correspond à des compétences non acquises ou très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partiellement au regard du référentiel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le niveau 2 - insuffisamment maîtrisé - correspond à des compétences qui doivent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encore être étayées au regard du référentiel ;</w:t>
      </w:r>
    </w:p>
    <w:p w:rsidR="00891E8C" w:rsidRPr="00891E8C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le niveau 3 - maîtrisé - est le niveau attendu en fin de formation, c'est lui qui permet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de valider l'acquisition des compétences au regard du référentiel;</w:t>
      </w:r>
    </w:p>
    <w:p w:rsidR="00891E8C" w:rsidRPr="00F53F7A" w:rsidRDefault="00891E8C" w:rsidP="00F53F7A">
      <w:pPr>
        <w:pStyle w:val="Paragraphedeliste"/>
        <w:numPr>
          <w:ilvl w:val="0"/>
          <w:numId w:val="2"/>
        </w:numPr>
        <w:spacing w:line="280" w:lineRule="exact"/>
        <w:jc w:val="both"/>
        <w:rPr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le niveau 4 - bien maîtrisé - correspond à une maîtrise particulièrement affirmée de la</w:t>
      </w:r>
      <w:r w:rsidRPr="00891E8C"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compétence, au-delà du minimum attendu pour la validation au regard du référentiel.</w:t>
      </w:r>
      <w:r w:rsidRPr="00891E8C">
        <w:rPr>
          <w:rFonts w:ascii="Marianne" w:hAnsi="Marianne"/>
          <w:sz w:val="20"/>
          <w:szCs w:val="20"/>
        </w:rPr>
        <w:t xml:space="preserve"> </w:t>
      </w:r>
    </w:p>
    <w:p w:rsidR="00F53F7A" w:rsidRDefault="00F53F7A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:rsidR="00F53F7A" w:rsidRPr="00F53F7A" w:rsidRDefault="00F53F7A" w:rsidP="00F53F7A">
      <w:pPr>
        <w:spacing w:line="280" w:lineRule="exact"/>
        <w:jc w:val="both"/>
        <w:rPr>
          <w:rStyle w:val="markedcontent"/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9300" cy="64960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 ac-lyo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9300" cy="64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b/>
          <w:sz w:val="20"/>
          <w:szCs w:val="20"/>
        </w:rPr>
      </w:pPr>
    </w:p>
    <w:p w:rsid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b/>
          <w:sz w:val="20"/>
          <w:szCs w:val="20"/>
        </w:rPr>
      </w:pPr>
    </w:p>
    <w:p w:rsid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b/>
          <w:sz w:val="20"/>
          <w:szCs w:val="20"/>
        </w:rPr>
      </w:pPr>
    </w:p>
    <w:p w:rsidR="00891E8C" w:rsidRP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b/>
          <w:sz w:val="20"/>
          <w:szCs w:val="20"/>
        </w:rPr>
      </w:pPr>
      <w:r w:rsidRPr="00891E8C">
        <w:rPr>
          <w:rStyle w:val="markedcontent"/>
          <w:rFonts w:ascii="Marianne" w:hAnsi="Marianne" w:cs="Arial"/>
          <w:b/>
          <w:sz w:val="20"/>
          <w:szCs w:val="20"/>
        </w:rPr>
        <w:t>Évaluer les acquis des élèves, du quotidien de la classe au positionnement en fin</w:t>
      </w:r>
      <w:r w:rsidRPr="00891E8C">
        <w:rPr>
          <w:rStyle w:val="markedcontent"/>
          <w:rFonts w:ascii="Marianne" w:hAnsi="Marianne" w:cs="Arial"/>
          <w:b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b/>
          <w:sz w:val="20"/>
          <w:szCs w:val="20"/>
        </w:rPr>
        <w:t>d’année.</w:t>
      </w:r>
    </w:p>
    <w:p w:rsidR="00891E8C" w:rsidRPr="00891E8C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Le positionnement de l'élève sur l'échelle du niveau de maîtrise des compétences s'appuie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sur le bilan de ce qu'il a acquis durant l’année. Il ne résulte pas d'une évaluation spécifique.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Il s'apprécie à partir du suivi régulier des apprentissages que les enseignants réalisent au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regard des objectifs fixés par le programme pour l’acquisition des compétences identifiées.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L’objectif premier de ce suivi consiste à mettre en valeur de façon lisible les progrès de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l’élève, à repérer l’une ou l’autre de ses difficultés et à lui donner des objectifs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d’apprentissage l’inscrivant dans une dynamique continue de perfectionnement.</w:t>
      </w:r>
    </w:p>
    <w:p w:rsidR="00891E8C" w:rsidRDefault="00891E8C" w:rsidP="00F53F7A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À la fin de l’année de première et de l’année de terminale les enseignants intervenant en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enseignement d’économie gestion secteur de la production déterminent le niveau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d’acquisition des compétences de l'élève. Ce positionnement résulte de la synthèse des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observations réalisées et des éléments apportés par le suivi des acquis. Il en est de même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pour l’appréciation générale sur le niveau d’implication et les progrès de l’élève.</w:t>
      </w:r>
      <w:r>
        <w:rPr>
          <w:rFonts w:ascii="Marianne" w:hAnsi="Marianne"/>
          <w:sz w:val="20"/>
          <w:szCs w:val="20"/>
        </w:rPr>
        <w:t xml:space="preserve"> </w:t>
      </w:r>
    </w:p>
    <w:p w:rsidR="00F53F7A" w:rsidRDefault="00891E8C" w:rsidP="00F53F7A">
      <w:pPr>
        <w:spacing w:line="280" w:lineRule="exact"/>
        <w:jc w:val="both"/>
        <w:rPr>
          <w:rStyle w:val="markedcontent"/>
          <w:rFonts w:ascii="Marianne" w:hAnsi="Marianne" w:cs="Arial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Ce document a pour objectif de guider les enseignants et présente :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des descripteurs de l’acquisition des compétences afin de faciliter le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 xml:space="preserve">positionnement et d’harmoniser l’évaluation </w:t>
      </w:r>
      <w:r w:rsidR="00F53F7A">
        <w:rPr>
          <w:rStyle w:val="markedcontent"/>
          <w:rFonts w:ascii="Marianne" w:hAnsi="Marianne" w:cs="Arial"/>
          <w:sz w:val="20"/>
          <w:szCs w:val="20"/>
        </w:rPr>
        <w:t>p</w:t>
      </w:r>
      <w:r w:rsidRPr="00891E8C">
        <w:rPr>
          <w:rStyle w:val="markedcontent"/>
          <w:rFonts w:ascii="Marianne" w:hAnsi="Marianne" w:cs="Arial"/>
          <w:sz w:val="20"/>
          <w:szCs w:val="20"/>
        </w:rPr>
        <w:t>age 3</w:t>
      </w:r>
      <w:r w:rsidR="00F53F7A">
        <w:rPr>
          <w:rStyle w:val="markedcontent"/>
          <w:rFonts w:ascii="Marianne" w:hAnsi="Marianne" w:cs="Arial"/>
          <w:sz w:val="20"/>
          <w:szCs w:val="20"/>
        </w:rPr>
        <w:t>.</w:t>
      </w:r>
    </w:p>
    <w:p w:rsidR="00891E8C" w:rsidRDefault="00891E8C" w:rsidP="00F53F7A">
      <w:pPr>
        <w:spacing w:line="280" w:lineRule="exact"/>
        <w:jc w:val="both"/>
        <w:rPr>
          <w:rFonts w:ascii="Marianne" w:hAnsi="Marianne"/>
          <w:sz w:val="20"/>
          <w:szCs w:val="20"/>
        </w:rPr>
      </w:pPr>
      <w:r w:rsidRPr="00891E8C">
        <w:rPr>
          <w:rStyle w:val="markedcontent"/>
          <w:rFonts w:ascii="Marianne" w:hAnsi="Marianne" w:cs="Arial"/>
          <w:sz w:val="20"/>
          <w:szCs w:val="20"/>
        </w:rPr>
        <w:t>Ces descripteurs sont à utiliser pour le positionnement, intermédiaire ou global, dans</w:t>
      </w:r>
      <w:r>
        <w:rPr>
          <w:rFonts w:ascii="Marianne" w:hAnsi="Marianne"/>
          <w:sz w:val="20"/>
          <w:szCs w:val="20"/>
        </w:rPr>
        <w:t xml:space="preserve"> </w:t>
      </w:r>
      <w:r w:rsidRPr="00891E8C">
        <w:rPr>
          <w:rStyle w:val="markedcontent"/>
          <w:rFonts w:ascii="Marianne" w:hAnsi="Marianne" w:cs="Arial"/>
          <w:sz w:val="20"/>
          <w:szCs w:val="20"/>
        </w:rPr>
        <w:t>le cadre quotidien de la classe et lors de l’évaluation finale.</w:t>
      </w:r>
      <w:r>
        <w:rPr>
          <w:rFonts w:ascii="Marianne" w:hAnsi="Marianne"/>
          <w:sz w:val="20"/>
          <w:szCs w:val="20"/>
        </w:rPr>
        <w:t xml:space="preserve"> </w:t>
      </w:r>
    </w:p>
    <w:p w:rsidR="00891E8C" w:rsidRDefault="00891E8C" w:rsidP="00F53F7A">
      <w:pPr>
        <w:spacing w:line="280" w:lineRule="exact"/>
        <w:rPr>
          <w:rStyle w:val="markedcontent"/>
          <w:rFonts w:ascii="Marianne" w:hAnsi="Marianne" w:cs="Arial"/>
          <w:sz w:val="20"/>
          <w:szCs w:val="20"/>
        </w:rPr>
      </w:pPr>
    </w:p>
    <w:p w:rsidR="00891E8C" w:rsidRPr="00891E8C" w:rsidRDefault="00891E8C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  <w:sectPr w:rsidR="00891E8C" w:rsidRPr="00891E8C" w:rsidSect="00891E8C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891E8C" w:rsidRDefault="00F53F7A" w:rsidP="00F53F7A">
      <w:pPr>
        <w:spacing w:after="0" w:line="240" w:lineRule="auto"/>
        <w:jc w:val="center"/>
        <w:rPr>
          <w:rStyle w:val="markedcontent"/>
          <w:rFonts w:ascii="Marianne" w:hAnsi="Marianne" w:cs="Arial"/>
          <w:b/>
          <w:sz w:val="30"/>
          <w:szCs w:val="30"/>
        </w:rPr>
      </w:pPr>
      <w:r w:rsidRPr="00F53F7A">
        <w:rPr>
          <w:rStyle w:val="markedcontent"/>
          <w:rFonts w:ascii="Marianne" w:hAnsi="Marianne" w:cs="Arial"/>
          <w:b/>
          <w:sz w:val="30"/>
          <w:szCs w:val="30"/>
        </w:rPr>
        <w:lastRenderedPageBreak/>
        <w:t>Descripteurs des quatre niveaux de maîtrise des compétences</w:t>
      </w:r>
    </w:p>
    <w:p w:rsidR="00F53F7A" w:rsidRDefault="00F53F7A" w:rsidP="00F53F7A">
      <w:pPr>
        <w:spacing w:after="0" w:line="240" w:lineRule="auto"/>
        <w:jc w:val="center"/>
        <w:rPr>
          <w:rFonts w:ascii="Marianne" w:hAnsi="Marianne"/>
          <w:b/>
        </w:rPr>
      </w:pPr>
    </w:p>
    <w:p w:rsidR="00F53F7A" w:rsidRPr="00F53F7A" w:rsidRDefault="00F53F7A" w:rsidP="00F53F7A">
      <w:pPr>
        <w:spacing w:after="0" w:line="240" w:lineRule="auto"/>
        <w:jc w:val="center"/>
        <w:rPr>
          <w:rFonts w:ascii="Marianne" w:hAnsi="Marianne"/>
          <w:b/>
        </w:rPr>
      </w:pPr>
    </w:p>
    <w:tbl>
      <w:tblPr>
        <w:tblW w:w="15593" w:type="dxa"/>
        <w:tblLayout w:type="fixed"/>
        <w:tblCellMar>
          <w:left w:w="142" w:type="dxa"/>
          <w:right w:w="142" w:type="dxa"/>
        </w:tblCellMar>
        <w:tblLook w:val="0420" w:firstRow="1" w:lastRow="0" w:firstColumn="0" w:lastColumn="0" w:noHBand="0" w:noVBand="1"/>
      </w:tblPr>
      <w:tblGrid>
        <w:gridCol w:w="1781"/>
        <w:gridCol w:w="3453"/>
        <w:gridCol w:w="3453"/>
        <w:gridCol w:w="3453"/>
        <w:gridCol w:w="3453"/>
      </w:tblGrid>
      <w:tr w:rsidR="00891E8C" w:rsidRPr="00891E8C" w:rsidTr="00F53F7A">
        <w:trPr>
          <w:trHeight w:val="396"/>
        </w:trPr>
        <w:tc>
          <w:tcPr>
            <w:tcW w:w="1781" w:type="dxa"/>
            <w:tcBorders>
              <w:top w:val="nil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FFFB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b/>
                <w:bCs/>
              </w:rPr>
              <w:t>1 – Non maîtrisé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DE5C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b/>
                <w:bCs/>
              </w:rPr>
              <w:t>2- Insuffisamment maîtrisé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EAD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b/>
                <w:bCs/>
              </w:rPr>
              <w:t>3- Maîtrisé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C4E1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b/>
                <w:bCs/>
              </w:rPr>
              <w:t>4- Bien maîtrisé</w:t>
            </w:r>
          </w:p>
        </w:tc>
      </w:tr>
      <w:tr w:rsidR="00891E8C" w:rsidRPr="00891E8C" w:rsidTr="00F53F7A">
        <w:trPr>
          <w:trHeight w:val="907"/>
        </w:trPr>
        <w:tc>
          <w:tcPr>
            <w:tcW w:w="178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 xml:space="preserve">Niveau de </w:t>
            </w:r>
          </w:p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maîtrise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FFFB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i/>
                <w:iCs/>
              </w:rPr>
              <w:t>Compétences non acquises ou très partiellement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DE5C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i/>
                <w:iCs/>
              </w:rPr>
              <w:t>Compétences qui doivent encore être étayées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EA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i/>
                <w:iCs/>
              </w:rPr>
              <w:t>Niveau attendu en fin de formation, permet de validé l’acquisition des compétences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C4E1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  <w:i/>
                <w:iCs/>
              </w:rPr>
              <w:t>Maîtrise particulièrement affirmée de la compétence au-delà du niveau attendu pour la validation</w:t>
            </w:r>
          </w:p>
        </w:tc>
      </w:tr>
      <w:tr w:rsidR="00891E8C" w:rsidRPr="00891E8C" w:rsidTr="00F53F7A">
        <w:trPr>
          <w:trHeight w:val="907"/>
        </w:trPr>
        <w:tc>
          <w:tcPr>
            <w:tcW w:w="178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Degré de compréhension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FFFB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Les données</w:t>
            </w:r>
            <w:r w:rsidR="00F53F7A">
              <w:rPr>
                <w:rFonts w:ascii="Marianne" w:hAnsi="Marianne"/>
              </w:rPr>
              <w:t>*</w:t>
            </w:r>
            <w:r w:rsidRPr="00891E8C">
              <w:rPr>
                <w:rFonts w:ascii="Marianne" w:hAnsi="Marianne"/>
              </w:rPr>
              <w:t xml:space="preserve"> économiques, juridiques ou de gestion ne sont pas identifiées (observées, repérées)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DE5C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Les données économiques, juridiques ou de gestion sont partiellement (observées, repérées)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EA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Les données économiques, juridiques ou de gestion sont totalement (observées, repérées)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C4E1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Les données économiques, juridiques ou de gestion sont totalement identifiées (observées, repérées) avec précision et détail quelle que soit la complexité</w:t>
            </w:r>
          </w:p>
        </w:tc>
      </w:tr>
      <w:tr w:rsidR="00891E8C" w:rsidRPr="00891E8C" w:rsidTr="00F53F7A">
        <w:trPr>
          <w:trHeight w:val="907"/>
        </w:trPr>
        <w:tc>
          <w:tcPr>
            <w:tcW w:w="178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 xml:space="preserve">Degré </w:t>
            </w:r>
          </w:p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d’analyse et</w:t>
            </w:r>
          </w:p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de réalisation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FFFB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L’exploitation et ou l’analyse</w:t>
            </w:r>
            <w:r w:rsidR="00F53F7A">
              <w:rPr>
                <w:rFonts w:ascii="Marianne" w:hAnsi="Marianne"/>
              </w:rPr>
              <w:t>*</w:t>
            </w:r>
            <w:r w:rsidRPr="00891E8C">
              <w:rPr>
                <w:rFonts w:ascii="Marianne" w:hAnsi="Marianne"/>
              </w:rPr>
              <w:t xml:space="preserve"> des données est inexistante ou très partielle ou erronée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DE5C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L’exploitation et ou l’analyse des données est incomplète et ou partiellement erronée, le dévelop-pement des réponses reste limité.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EA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L’exploitation et ou l’analyse des données est exacte.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C4E1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L’exploitation et ou l’analyse des données est exacte, précise et détaillée quel que soit le support.</w:t>
            </w:r>
          </w:p>
        </w:tc>
      </w:tr>
      <w:tr w:rsidR="00891E8C" w:rsidRPr="00891E8C" w:rsidTr="00F53F7A">
        <w:trPr>
          <w:trHeight w:val="1023"/>
        </w:trPr>
        <w:tc>
          <w:tcPr>
            <w:tcW w:w="178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 xml:space="preserve">Degré </w:t>
            </w:r>
          </w:p>
          <w:p w:rsidR="00891E8C" w:rsidRPr="00891E8C" w:rsidRDefault="00891E8C" w:rsidP="00F53F7A">
            <w:pPr>
              <w:spacing w:after="0" w:line="240" w:lineRule="auto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d’autonomie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FFFB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Aucune autonomie, un guidage permanent est nécessaire, même pour des activité simples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FDE5C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Autonomie dans des activités simples, un guidage est nécessaire pour des activités complexes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D9EA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F53F7A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Autonomie dans les activités </w:t>
            </w:r>
            <w:r w:rsidR="00891E8C" w:rsidRPr="00891E8C">
              <w:rPr>
                <w:rFonts w:ascii="Marianne" w:hAnsi="Marianne"/>
              </w:rPr>
              <w:t>avec un temps d’adaptation dans les activités complexes</w:t>
            </w:r>
          </w:p>
        </w:tc>
        <w:tc>
          <w:tcPr>
            <w:tcW w:w="345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C4E1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91E8C" w:rsidRPr="00891E8C" w:rsidRDefault="00891E8C" w:rsidP="00F53F7A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891E8C">
              <w:rPr>
                <w:rFonts w:ascii="Marianne" w:hAnsi="Marianne"/>
              </w:rPr>
              <w:t>Anticipation et autonomie quelle que soit la complexité de l’activité</w:t>
            </w:r>
          </w:p>
        </w:tc>
      </w:tr>
    </w:tbl>
    <w:p w:rsidR="00F53F7A" w:rsidRDefault="00F53F7A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</w:p>
    <w:p w:rsidR="00F53F7A" w:rsidRPr="00F53F7A" w:rsidRDefault="00F53F7A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  <w:r w:rsidRPr="00F53F7A">
        <w:rPr>
          <w:rStyle w:val="markedcontent"/>
          <w:rFonts w:ascii="Marianne" w:hAnsi="Marianne" w:cs="Arial"/>
          <w:sz w:val="20"/>
          <w:szCs w:val="20"/>
        </w:rPr>
        <w:t>Ces descripteurs sont à utiliser pour le positionnement, intermédiaire ou global, dans le cadre quotidien de la classe et lors de l’évaluation finale.</w:t>
      </w:r>
    </w:p>
    <w:p w:rsidR="00F53F7A" w:rsidRDefault="00F53F7A" w:rsidP="00F53F7A">
      <w:pPr>
        <w:spacing w:after="0" w:line="240" w:lineRule="auto"/>
        <w:rPr>
          <w:rStyle w:val="markedcontent"/>
          <w:rFonts w:ascii="Marianne" w:hAnsi="Marianne" w:cs="Arial"/>
          <w:sz w:val="20"/>
          <w:szCs w:val="20"/>
        </w:rPr>
      </w:pPr>
    </w:p>
    <w:p w:rsidR="00F53F7A" w:rsidRPr="00F53F7A" w:rsidRDefault="00891E8C" w:rsidP="00F53F7A">
      <w:pPr>
        <w:spacing w:after="0" w:line="240" w:lineRule="auto"/>
        <w:rPr>
          <w:rStyle w:val="markedcontent"/>
          <w:rFonts w:ascii="Marianne" w:hAnsi="Marianne" w:cs="Arial"/>
          <w:sz w:val="16"/>
          <w:szCs w:val="16"/>
        </w:rPr>
      </w:pPr>
      <w:r w:rsidRPr="00F53F7A">
        <w:rPr>
          <w:rStyle w:val="markedcontent"/>
          <w:rFonts w:ascii="Marianne" w:hAnsi="Marianne" w:cs="Arial"/>
          <w:sz w:val="16"/>
          <w:szCs w:val="16"/>
        </w:rPr>
        <w:t>Données</w:t>
      </w:r>
      <w:r w:rsidR="00F53F7A" w:rsidRPr="00F53F7A">
        <w:rPr>
          <w:rStyle w:val="markedcontent"/>
          <w:rFonts w:ascii="Marianne" w:hAnsi="Marianne" w:cs="Arial"/>
          <w:sz w:val="16"/>
          <w:szCs w:val="16"/>
        </w:rPr>
        <w:t>*</w:t>
      </w:r>
      <w:r w:rsidRPr="00F53F7A">
        <w:rPr>
          <w:rStyle w:val="markedcontent"/>
          <w:rFonts w:ascii="Marianne" w:hAnsi="Marianne" w:cs="Arial"/>
          <w:sz w:val="16"/>
          <w:szCs w:val="16"/>
        </w:rPr>
        <w:t xml:space="preserve"> : toute information servant de base à l’activité : contexte, constat, évolution, évènement, ... quel que soit le moyen de</w:t>
      </w:r>
      <w:r w:rsidR="00F53F7A" w:rsidRPr="00F53F7A">
        <w:rPr>
          <w:rStyle w:val="markedcontent"/>
          <w:rFonts w:ascii="Marianne" w:hAnsi="Marianne" w:cs="Arial"/>
          <w:sz w:val="16"/>
          <w:szCs w:val="16"/>
        </w:rPr>
        <w:t xml:space="preserve"> </w:t>
      </w:r>
      <w:r w:rsidRPr="00F53F7A">
        <w:rPr>
          <w:rStyle w:val="markedcontent"/>
          <w:rFonts w:ascii="Marianne" w:hAnsi="Marianne" w:cs="Arial"/>
          <w:sz w:val="16"/>
          <w:szCs w:val="16"/>
        </w:rPr>
        <w:t>communication : écrit (mots, chiffres), sonore (exposé, échange oral, audiovisuel), visuel (gestes, graphisme, dessin, schéma,</w:t>
      </w:r>
      <w:r w:rsidR="00F53F7A" w:rsidRPr="00F53F7A">
        <w:rPr>
          <w:rStyle w:val="markedcontent"/>
          <w:rFonts w:ascii="Marianne" w:hAnsi="Marianne" w:cs="Arial"/>
          <w:sz w:val="16"/>
          <w:szCs w:val="16"/>
        </w:rPr>
        <w:t xml:space="preserve"> </w:t>
      </w:r>
      <w:r w:rsidRPr="00F53F7A">
        <w:rPr>
          <w:rStyle w:val="markedcontent"/>
          <w:rFonts w:ascii="Marianne" w:hAnsi="Marianne" w:cs="Arial"/>
          <w:sz w:val="16"/>
          <w:szCs w:val="16"/>
        </w:rPr>
        <w:t>photographie, film...) et quel qu’en soit le support (numérique ou papier).</w:t>
      </w:r>
      <w:r w:rsidR="00F53F7A" w:rsidRPr="00F53F7A">
        <w:rPr>
          <w:rStyle w:val="markedcontent"/>
          <w:rFonts w:ascii="Marianne" w:hAnsi="Marianne" w:cs="Arial"/>
          <w:sz w:val="16"/>
          <w:szCs w:val="16"/>
        </w:rPr>
        <w:t xml:space="preserve"> </w:t>
      </w:r>
    </w:p>
    <w:p w:rsidR="00891E8C" w:rsidRPr="00F53F7A" w:rsidRDefault="00891E8C" w:rsidP="00F53F7A">
      <w:pPr>
        <w:spacing w:after="0" w:line="240" w:lineRule="auto"/>
        <w:rPr>
          <w:rFonts w:ascii="Marianne" w:hAnsi="Marianne" w:cs="Arial"/>
          <w:sz w:val="16"/>
          <w:szCs w:val="16"/>
        </w:rPr>
      </w:pPr>
      <w:r w:rsidRPr="00F53F7A">
        <w:rPr>
          <w:rStyle w:val="markedcontent"/>
          <w:rFonts w:ascii="Marianne" w:hAnsi="Marianne" w:cs="Arial"/>
          <w:sz w:val="16"/>
          <w:szCs w:val="16"/>
        </w:rPr>
        <w:t>Exploitation et ou analyse</w:t>
      </w:r>
      <w:r w:rsidR="00F53F7A" w:rsidRPr="00F53F7A">
        <w:rPr>
          <w:rStyle w:val="markedcontent"/>
          <w:rFonts w:ascii="Marianne" w:hAnsi="Marianne" w:cs="Arial"/>
          <w:sz w:val="16"/>
          <w:szCs w:val="16"/>
        </w:rPr>
        <w:t>*</w:t>
      </w:r>
      <w:r w:rsidRPr="00F53F7A">
        <w:rPr>
          <w:rStyle w:val="markedcontent"/>
          <w:rFonts w:ascii="Marianne" w:hAnsi="Marianne" w:cs="Arial"/>
          <w:sz w:val="16"/>
          <w:szCs w:val="16"/>
        </w:rPr>
        <w:t xml:space="preserve"> : toute production quelle qu’en soit la forme</w:t>
      </w:r>
    </w:p>
    <w:sectPr w:rsidR="00891E8C" w:rsidRPr="00F53F7A" w:rsidSect="00891E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89" w:rsidRDefault="00E23B89" w:rsidP="00891E8C">
      <w:pPr>
        <w:spacing w:after="0" w:line="240" w:lineRule="auto"/>
      </w:pPr>
      <w:r>
        <w:separator/>
      </w:r>
    </w:p>
  </w:endnote>
  <w:endnote w:type="continuationSeparator" w:id="0">
    <w:p w:rsidR="00E23B89" w:rsidRDefault="00E23B89" w:rsidP="008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8C" w:rsidRDefault="00891E8C">
    <w:pPr>
      <w:pStyle w:val="Pieddepage"/>
      <w:rPr>
        <w:rStyle w:val="markedcontent"/>
        <w:rFonts w:ascii="Marianne" w:hAnsi="Marianne" w:cs="Arial"/>
        <w:sz w:val="20"/>
        <w:szCs w:val="20"/>
      </w:rPr>
    </w:pPr>
    <w:r w:rsidRPr="00891E8C">
      <w:rPr>
        <w:rStyle w:val="markedcontent"/>
        <w:rFonts w:ascii="Marianne" w:hAnsi="Marianne" w:cs="Arial"/>
        <w:sz w:val="20"/>
        <w:szCs w:val="20"/>
      </w:rPr>
      <w:t>LSL PRO</w:t>
    </w:r>
    <w:r>
      <w:rPr>
        <w:rStyle w:val="markedcontent"/>
        <w:rFonts w:ascii="Marianne" w:hAnsi="Marianne" w:cs="Arial"/>
        <w:sz w:val="20"/>
        <w:szCs w:val="20"/>
      </w:rPr>
      <w:t xml:space="preserve"> : </w:t>
    </w:r>
    <w:r w:rsidRPr="00891E8C">
      <w:rPr>
        <w:rStyle w:val="markedcontent"/>
        <w:rFonts w:ascii="Marianne" w:hAnsi="Marianne" w:cs="Arial"/>
        <w:sz w:val="20"/>
        <w:szCs w:val="20"/>
      </w:rPr>
      <w:t xml:space="preserve">Accompagnement </w:t>
    </w:r>
    <w:r>
      <w:rPr>
        <w:rStyle w:val="markedcontent"/>
        <w:rFonts w:ascii="Marianne" w:hAnsi="Marianne" w:cs="Arial"/>
        <w:sz w:val="20"/>
        <w:szCs w:val="20"/>
      </w:rPr>
      <w:t>à l’é</w:t>
    </w:r>
    <w:r w:rsidRPr="00891E8C">
      <w:rPr>
        <w:rStyle w:val="markedcontent"/>
        <w:rFonts w:ascii="Marianne" w:hAnsi="Marianne" w:cs="Arial"/>
        <w:sz w:val="20"/>
        <w:szCs w:val="20"/>
      </w:rPr>
      <w:t xml:space="preserve">valuation </w:t>
    </w:r>
    <w:r>
      <w:rPr>
        <w:rStyle w:val="markedcontent"/>
        <w:rFonts w:ascii="Marianne" w:hAnsi="Marianne" w:cs="Arial"/>
        <w:sz w:val="20"/>
        <w:szCs w:val="20"/>
      </w:rPr>
      <w:t>en formation</w:t>
    </w:r>
  </w:p>
  <w:p w:rsidR="00891E8C" w:rsidRDefault="00891E8C" w:rsidP="00891E8C">
    <w:pPr>
      <w:pStyle w:val="Pieddepage"/>
      <w:tabs>
        <w:tab w:val="clear" w:pos="9072"/>
        <w:tab w:val="right" w:pos="10206"/>
      </w:tabs>
    </w:pPr>
    <w:r>
      <w:rPr>
        <w:rStyle w:val="markedcontent"/>
        <w:rFonts w:ascii="Marianne" w:hAnsi="Marianne" w:cs="Arial"/>
        <w:sz w:val="20"/>
        <w:szCs w:val="20"/>
      </w:rPr>
      <w:t>É</w:t>
    </w:r>
    <w:r w:rsidRPr="00891E8C">
      <w:rPr>
        <w:rStyle w:val="markedcontent"/>
        <w:rFonts w:ascii="Marianne" w:hAnsi="Marianne" w:cs="Arial"/>
        <w:sz w:val="20"/>
        <w:szCs w:val="20"/>
      </w:rPr>
      <w:t xml:space="preserve">conomie gestion Bac </w:t>
    </w:r>
    <w:r>
      <w:rPr>
        <w:rStyle w:val="markedcontent"/>
        <w:rFonts w:ascii="Marianne" w:hAnsi="Marianne" w:cs="Arial"/>
        <w:sz w:val="20"/>
        <w:szCs w:val="20"/>
      </w:rPr>
      <w:t xml:space="preserve">pro secteur de la production </w:t>
    </w:r>
    <w:r>
      <w:rPr>
        <w:rStyle w:val="markedcontent"/>
        <w:rFonts w:ascii="Marianne" w:hAnsi="Marianne" w:cs="Arial"/>
        <w:sz w:val="20"/>
        <w:szCs w:val="20"/>
      </w:rPr>
      <w:tab/>
    </w:r>
    <w:r w:rsidRPr="00891E8C">
      <w:rPr>
        <w:rStyle w:val="markedcontent"/>
        <w:rFonts w:ascii="Marianne" w:hAnsi="Marianne" w:cs="Arial"/>
        <w:sz w:val="20"/>
        <w:szCs w:val="20"/>
      </w:rPr>
      <w:t xml:space="preserve">Page </w: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begin"/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instrText>PAGE  \* Arabic  \* MERGEFORMAT</w:instrTex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separate"/>
    </w:r>
    <w:r w:rsidR="00F53F7A">
      <w:rPr>
        <w:rStyle w:val="markedcontent"/>
        <w:rFonts w:ascii="Marianne" w:hAnsi="Marianne" w:cs="Arial"/>
        <w:b/>
        <w:bCs/>
        <w:noProof/>
        <w:sz w:val="20"/>
        <w:szCs w:val="20"/>
      </w:rPr>
      <w:t>2</w: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end"/>
    </w:r>
    <w:r w:rsidRPr="00891E8C">
      <w:rPr>
        <w:rStyle w:val="markedcontent"/>
        <w:rFonts w:ascii="Marianne" w:hAnsi="Marianne" w:cs="Arial"/>
        <w:sz w:val="20"/>
        <w:szCs w:val="20"/>
      </w:rPr>
      <w:t xml:space="preserve"> sur </w: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begin"/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instrText>NUMPAGES  \* Arabic  \* MERGEFORMAT</w:instrTex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separate"/>
    </w:r>
    <w:r w:rsidR="00F53F7A">
      <w:rPr>
        <w:rStyle w:val="markedcontent"/>
        <w:rFonts w:ascii="Marianne" w:hAnsi="Marianne" w:cs="Arial"/>
        <w:b/>
        <w:bCs/>
        <w:noProof/>
        <w:sz w:val="20"/>
        <w:szCs w:val="20"/>
      </w:rPr>
      <w:t>3</w:t>
    </w:r>
    <w:r w:rsidRPr="00891E8C">
      <w:rPr>
        <w:rStyle w:val="markedcontent"/>
        <w:rFonts w:ascii="Marianne" w:hAnsi="Marianne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89" w:rsidRDefault="00E23B89" w:rsidP="00891E8C">
      <w:pPr>
        <w:spacing w:after="0" w:line="240" w:lineRule="auto"/>
      </w:pPr>
      <w:r>
        <w:separator/>
      </w:r>
    </w:p>
  </w:footnote>
  <w:footnote w:type="continuationSeparator" w:id="0">
    <w:p w:rsidR="00E23B89" w:rsidRDefault="00E23B89" w:rsidP="008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2B1D"/>
    <w:multiLevelType w:val="hybridMultilevel"/>
    <w:tmpl w:val="1B84141A"/>
    <w:lvl w:ilvl="0" w:tplc="29D2BF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F90"/>
    <w:multiLevelType w:val="hybridMultilevel"/>
    <w:tmpl w:val="7132E6EC"/>
    <w:lvl w:ilvl="0" w:tplc="29D2BF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52A"/>
    <w:multiLevelType w:val="hybridMultilevel"/>
    <w:tmpl w:val="B4943DAA"/>
    <w:lvl w:ilvl="0" w:tplc="29D2BF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1BCB"/>
    <w:multiLevelType w:val="hybridMultilevel"/>
    <w:tmpl w:val="F808E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8C"/>
    <w:rsid w:val="00293822"/>
    <w:rsid w:val="00891E8C"/>
    <w:rsid w:val="00AA08F1"/>
    <w:rsid w:val="00E23B89"/>
    <w:rsid w:val="00F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3DE0"/>
  <w15:chartTrackingRefBased/>
  <w15:docId w15:val="{017A4B5C-2736-4649-B7D9-42789988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891E8C"/>
  </w:style>
  <w:style w:type="paragraph" w:styleId="Paragraphedeliste">
    <w:name w:val="List Paragraph"/>
    <w:basedOn w:val="Normal"/>
    <w:uiPriority w:val="34"/>
    <w:qFormat/>
    <w:rsid w:val="00891E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E8C"/>
  </w:style>
  <w:style w:type="paragraph" w:styleId="Pieddepage">
    <w:name w:val="footer"/>
    <w:basedOn w:val="Normal"/>
    <w:link w:val="PieddepageCar"/>
    <w:uiPriority w:val="99"/>
    <w:unhideWhenUsed/>
    <w:rsid w:val="0089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</dc:creator>
  <cp:keywords/>
  <dc:description/>
  <cp:lastModifiedBy>mmazoyer</cp:lastModifiedBy>
  <cp:revision>1</cp:revision>
  <dcterms:created xsi:type="dcterms:W3CDTF">2022-03-22T11:32:00Z</dcterms:created>
  <dcterms:modified xsi:type="dcterms:W3CDTF">2022-03-22T11:52:00Z</dcterms:modified>
</cp:coreProperties>
</file>