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641" w:rsidRDefault="003D2641">
      <w:r>
        <w:rPr>
          <w:rFonts w:ascii="Marianne" w:hAnsi="Marianne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23900" cy="7308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ac-ly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641" w:rsidRDefault="003D2641" w:rsidP="003D2641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</w:p>
    <w:p w:rsidR="003D2641" w:rsidRDefault="003D2641" w:rsidP="003D2641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</w:p>
    <w:p w:rsidR="003D2641" w:rsidRDefault="003D2641" w:rsidP="003D2641">
      <w:pPr>
        <w:spacing w:after="0" w:line="240" w:lineRule="auto"/>
        <w:jc w:val="center"/>
        <w:rPr>
          <w:rFonts w:ascii="Marianne" w:hAnsi="Marianne"/>
          <w:b/>
          <w:bCs/>
          <w:sz w:val="28"/>
          <w:szCs w:val="28"/>
        </w:rPr>
      </w:pPr>
      <w:r w:rsidRPr="003D2641">
        <w:rPr>
          <w:rFonts w:ascii="Marianne" w:hAnsi="Marianne"/>
          <w:b/>
          <w:bCs/>
          <w:sz w:val="28"/>
          <w:szCs w:val="28"/>
        </w:rPr>
        <w:t xml:space="preserve">Repères de graduation de la maîtrise </w:t>
      </w:r>
    </w:p>
    <w:p w:rsidR="003D2641" w:rsidRPr="003D2641" w:rsidRDefault="003D2641" w:rsidP="003D2641">
      <w:pPr>
        <w:spacing w:after="0" w:line="240" w:lineRule="auto"/>
        <w:jc w:val="center"/>
        <w:rPr>
          <w:rFonts w:ascii="Marianne" w:hAnsi="Marianne"/>
          <w:sz w:val="28"/>
          <w:szCs w:val="28"/>
        </w:rPr>
      </w:pPr>
      <w:proofErr w:type="gramStart"/>
      <w:r w:rsidRPr="003D2641">
        <w:rPr>
          <w:rFonts w:ascii="Marianne" w:hAnsi="Marianne"/>
          <w:b/>
          <w:bCs/>
          <w:sz w:val="28"/>
          <w:szCs w:val="28"/>
        </w:rPr>
        <w:t>des</w:t>
      </w:r>
      <w:proofErr w:type="gramEnd"/>
      <w:r w:rsidRPr="003D2641">
        <w:rPr>
          <w:rFonts w:ascii="Marianne" w:hAnsi="Marianne"/>
          <w:b/>
          <w:bCs/>
          <w:sz w:val="28"/>
          <w:szCs w:val="28"/>
        </w:rPr>
        <w:t xml:space="preserve"> compétences </w:t>
      </w:r>
      <w:r>
        <w:rPr>
          <w:rFonts w:ascii="Marianne" w:hAnsi="Marianne"/>
          <w:b/>
          <w:bCs/>
          <w:sz w:val="28"/>
          <w:szCs w:val="28"/>
        </w:rPr>
        <w:t xml:space="preserve">attendues </w:t>
      </w:r>
      <w:r w:rsidRPr="003D2641">
        <w:rPr>
          <w:rFonts w:ascii="Marianne" w:hAnsi="Marianne"/>
          <w:b/>
          <w:bCs/>
          <w:sz w:val="28"/>
          <w:szCs w:val="28"/>
        </w:rPr>
        <w:t>pour l’examen</w:t>
      </w:r>
      <w:r>
        <w:rPr>
          <w:rFonts w:ascii="Marianne" w:hAnsi="Marianne"/>
          <w:b/>
          <w:bCs/>
          <w:sz w:val="28"/>
          <w:szCs w:val="28"/>
        </w:rPr>
        <w:t xml:space="preserve"> final</w:t>
      </w:r>
    </w:p>
    <w:p w:rsidR="003D2641" w:rsidRDefault="003D2641">
      <w:bookmarkStart w:id="0" w:name="_GoBack"/>
      <w:bookmarkEnd w:id="0"/>
    </w:p>
    <w:tbl>
      <w:tblPr>
        <w:tblW w:w="10936" w:type="dxa"/>
        <w:tblLayout w:type="fixed"/>
        <w:tblCellMar>
          <w:top w:w="113" w:type="dxa"/>
          <w:left w:w="142" w:type="dxa"/>
          <w:bottom w:w="113" w:type="dxa"/>
          <w:right w:w="142" w:type="dxa"/>
        </w:tblCellMar>
        <w:tblLook w:val="0600" w:firstRow="0" w:lastRow="0" w:firstColumn="0" w:lastColumn="0" w:noHBand="1" w:noVBand="1"/>
      </w:tblPr>
      <w:tblGrid>
        <w:gridCol w:w="1560"/>
        <w:gridCol w:w="2344"/>
        <w:gridCol w:w="2344"/>
        <w:gridCol w:w="2344"/>
        <w:gridCol w:w="2344"/>
      </w:tblGrid>
      <w:tr w:rsidR="003D2641" w:rsidRPr="003D2641" w:rsidTr="003D2641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4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1- Comprendre et analyser une situation d’entreprise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Une compréhension étroite de la situation de l'entreprise sans analyse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Une compréhension partielle et une analyse peu approfondie de la situation de l'entreprise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Une compréhension juste et une analyse succincte de la situation </w:t>
            </w:r>
          </w:p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de l'entreprise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Une compréhension excellente et une analyse approfondie et judicieuse de la situation de l'entreprise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2- Exploiter et analyser des documents économiques, juridiques ou de gestion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Les idées principales sont identifiées. L’analyse est indigente et incomplète. Les sources ne sont pas citées.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Les idées principales sont partiellement relevées. L’analyse est peu approfondie. Les sources sont indiquées mais ne sont pas justes.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Les idées principales sont exploitées. L’analyse est succincte mais juste. Les sources sont indiquées et valides. 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Les idées principales sont exploitées et utilisées de manière pertinente.  L’analyse est approfondie et judicieuse. Les sources sont indiquées et valides. 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  <w:b/>
                <w:bCs/>
              </w:rPr>
              <w:t>3- Justifier une réponse en sélectionnant le cas échéant des informations au sein d’un ou plusieurs documents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Les justifications sont inexistantes ou inadaptées. Réponses confuses ou erronées sans lien avec la question posée.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Les justifications sont imprécises et peu argumentées. Le vocabulaire  est mal utilisé.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La justification de la réponse et </w:t>
            </w:r>
          </w:p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son argumentation sont correctes et adaptées.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La justification de la réponse est argumentée et justifiée. La sélection des informations est très pertinente.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 xml:space="preserve">4- REDIGER </w:t>
            </w:r>
          </w:p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 xml:space="preserve">…à une </w:t>
            </w:r>
          </w:p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>problématique donnée…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La réponse apportée à la problématique est indigente, les arguments ne sont pas définis.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La réponse apportée à la problématique est partielle, les arguments sont fragiles pas clairs ou incomplets.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La réponse apportée à la problématique est correcte. Les arguments sont définis et adéquats.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La réponse à la problématique est judicieuse, démontre la compréhension, les arguments sont pertinents et pertinents. 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 xml:space="preserve">…une réponse </w:t>
            </w:r>
          </w:p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>structurée …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 xml:space="preserve">Aucune organisation et structuration des idées. 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Une organisation des idées est visible.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Une organisation et justification des idées est présente. Le sens de la réflexion est apparent.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Les idées sont bien structurées. La réflexion est approfondie, judicieuse, pertinente.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>…mobilisant les savoirs associés…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Aucun apport personnel. Aucun exemple pertinent trouvé dans les documents. Pas de connaissances.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Quelques apports personnels ou quelques exemples issus des documents mais inadaptés. Connaissances lacunaires.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Quelques apports personnels succincts et/ou quelques exemples pris dans les documents assez pertinents. Des connaissances présentées mais incomplètes.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Apports et réflexions personnels de qualités et pertinents ou des exemples pris dans les documents pertinents. Des connaissances présentées bien adaptées à la thématique.</w:t>
            </w:r>
          </w:p>
        </w:tc>
      </w:tr>
      <w:tr w:rsidR="003D2641" w:rsidRPr="003D2641" w:rsidTr="003D2641">
        <w:trPr>
          <w:trHeight w:val="1361"/>
        </w:trPr>
        <w:tc>
          <w:tcPr>
            <w:tcW w:w="1560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3D2641">
              <w:rPr>
                <w:rFonts w:ascii="Arial Narrow" w:hAnsi="Arial Narrow"/>
                <w:b/>
                <w:bCs/>
              </w:rPr>
              <w:t>…et le vocabulaire spécifique adéquat…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B9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31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 vocabulaire est peu ou pas adapté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ECE7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5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 vocabulaire est imprécis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AD5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129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 vocabulaire est adapté</w:t>
            </w:r>
          </w:p>
        </w:tc>
        <w:tc>
          <w:tcPr>
            <w:tcW w:w="2344" w:type="dxa"/>
            <w:tcBorders>
              <w:top w:val="dash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4E1F2"/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D2641" w:rsidRPr="003D2641" w:rsidRDefault="003D2641" w:rsidP="003D2641">
            <w:pPr>
              <w:spacing w:after="0" w:line="240" w:lineRule="auto"/>
              <w:ind w:left="47"/>
              <w:rPr>
                <w:rFonts w:ascii="Arial Narrow" w:hAnsi="Arial Narrow"/>
              </w:rPr>
            </w:pPr>
            <w:r w:rsidRPr="003D2641">
              <w:rPr>
                <w:rFonts w:ascii="Arial Narrow" w:hAnsi="Arial Narrow"/>
              </w:rPr>
              <w:t>Le vocabulaire est très pertinent</w:t>
            </w:r>
          </w:p>
        </w:tc>
      </w:tr>
    </w:tbl>
    <w:p w:rsidR="00293822" w:rsidRPr="003D2641" w:rsidRDefault="00293822" w:rsidP="003D2641">
      <w:pPr>
        <w:spacing w:after="0" w:line="240" w:lineRule="auto"/>
        <w:rPr>
          <w:rFonts w:ascii="Arial Narrow" w:hAnsi="Arial Narrow"/>
        </w:rPr>
      </w:pPr>
    </w:p>
    <w:sectPr w:rsidR="00293822" w:rsidRPr="003D2641" w:rsidSect="00AA08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41"/>
    <w:rsid w:val="00293822"/>
    <w:rsid w:val="003D2641"/>
    <w:rsid w:val="00A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179DC"/>
  <w15:chartTrackingRefBased/>
  <w15:docId w15:val="{7DF4AB0E-382D-440E-83A1-55408C11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mmazoyer</dc:creator>
  <cp:keywords/>
  <dc:description/>
  <cp:lastModifiedBy>mmazoyer</cp:lastModifiedBy>
  <cp:revision>1</cp:revision>
  <dcterms:created xsi:type="dcterms:W3CDTF">2022-03-22T11:52:00Z</dcterms:created>
  <dcterms:modified xsi:type="dcterms:W3CDTF">2022-03-22T11:59:00Z</dcterms:modified>
</cp:coreProperties>
</file>