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DOCUMENT D’ACCOMPAGNEMENT</w:t>
      </w:r>
      <w:r/>
    </w:p>
    <w:p>
      <w:pPr>
        <w:jc w:val="right"/>
      </w:pPr>
      <w:r/>
      <w:r/>
    </w:p>
    <w:p>
      <w:pPr>
        <w:jc w:val="center"/>
        <w:rPr>
          <w:rFonts w:ascii="Calibri" w:hAnsi="Calibri" w:cs="Calibri"/>
          <w:b/>
          <w:sz w:val="28"/>
          <w:szCs w:val="28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1" w:color="auto"/>
        </w:pBdr>
      </w:pPr>
      <w:r/>
      <w:r>
        <w:rPr>
          <w:rFonts w:ascii="Calibri" w:hAnsi="Calibri" w:cs="Calibri"/>
          <w:b/>
          <w:sz w:val="28"/>
          <w:szCs w:val="28"/>
        </w:rPr>
        <w:t xml:space="preserve">SÉ</w:t>
      </w:r>
      <w:r>
        <w:rPr>
          <w:rFonts w:ascii="Calibri" w:hAnsi="Calibri" w:cs="Calibri"/>
          <w:b/>
          <w:sz w:val="28"/>
          <w:szCs w:val="28"/>
        </w:rPr>
        <w:t xml:space="preserve">QUENCE</w:t>
      </w:r>
      <w:r>
        <w:rPr>
          <w:rFonts w:ascii="Calibri" w:hAnsi="Calibri" w:cs="Calibri"/>
          <w:b/>
          <w:sz w:val="28"/>
          <w:szCs w:val="28"/>
        </w:rPr>
        <w:t xml:space="preserve"> DE CO-</w:t>
      </w:r>
      <w:r>
        <w:rPr>
          <w:rFonts w:ascii="Calibri" w:hAnsi="Calibri" w:cs="Calibri"/>
          <w:b/>
          <w:sz w:val="28"/>
          <w:szCs w:val="28"/>
        </w:rPr>
        <w:t xml:space="preserve">INTERVENTION</w:t>
      </w:r>
      <w:r/>
    </w:p>
    <w:p>
      <w:pPr>
        <w:jc w:val="center"/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1" w:color="auto"/>
        </w:pBdr>
      </w:pPr>
      <w:r>
        <w:rPr>
          <w:rFonts w:ascii="Calibri" w:hAnsi="Calibri" w:cs="Calibri"/>
          <w:b/>
          <w:sz w:val="28"/>
          <w:szCs w:val="28"/>
        </w:rPr>
        <w:t xml:space="preserve">SERVICE</w:t>
      </w:r>
      <w:r>
        <w:rPr>
          <w:rFonts w:ascii="Calibri" w:hAnsi="Calibri" w:cs="Calibri"/>
          <w:b/>
          <w:sz w:val="28"/>
          <w:szCs w:val="28"/>
        </w:rPr>
        <w:t xml:space="preserve"> COMMERCIALISATION</w:t>
      </w:r>
      <w:r>
        <w:rPr>
          <w:rFonts w:ascii="Calibri" w:hAnsi="Calibri" w:cs="Calibri"/>
          <w:b/>
          <w:sz w:val="28"/>
          <w:szCs w:val="28"/>
        </w:rPr>
        <w:t xml:space="preserve">/MATHÉMATIQUES</w:t>
      </w:r>
      <w:r/>
    </w:p>
    <w:p>
      <w:pPr>
        <w:jc w:val="center"/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1" w:color="auto"/>
        </w:pBdr>
      </w:pPr>
      <w:r>
        <w:rPr>
          <w:b/>
        </w:rPr>
        <w:t xml:space="preserve">Classe de </w:t>
      </w:r>
      <w:r>
        <w:rPr>
          <w:b/>
        </w:rPr>
        <w:t xml:space="preserve">2</w:t>
      </w:r>
      <w:r>
        <w:rPr>
          <w:b/>
          <w:vertAlign w:val="superscript"/>
        </w:rPr>
        <w:t xml:space="preserve">nde</w:t>
      </w:r>
      <w:bookmarkStart w:id="1" w:name="_GoBack"/>
      <w:r/>
      <w:bookmarkEnd w:id="1"/>
      <w:r>
        <w:rPr>
          <w:b/>
        </w:rPr>
        <w:t xml:space="preserve"> </w:t>
      </w:r>
      <w:r>
        <w:rPr>
          <w:b/>
        </w:rPr>
        <w:t xml:space="preserve">baccalauréat professionnel Commercialisation et services en restauration</w:t>
      </w:r>
      <w:r/>
    </w:p>
    <w:p>
      <w:pPr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Durée 4</w:t>
      </w:r>
      <w:r>
        <w:rPr>
          <w:rFonts w:ascii="Calibri" w:hAnsi="Calibri" w:cs="Calibri"/>
          <w:sz w:val="22"/>
          <w:szCs w:val="22"/>
        </w:rPr>
        <w:t xml:space="preserve"> x 1h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La classe s’organise en binôme.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À</w:t>
      </w:r>
      <w:r>
        <w:rPr>
          <w:rFonts w:ascii="Calibri" w:hAnsi="Calibri" w:cs="Calibri"/>
          <w:sz w:val="22"/>
          <w:szCs w:val="22"/>
        </w:rPr>
        <w:t xml:space="preserve"> l’issue de la séquence, il est possible d’évaluer les capacités et les compétences des deux référentiels.</w:t>
      </w:r>
      <w:r/>
    </w:p>
    <w:tbl>
      <w:tblPr>
        <w:tblStyle w:val="211"/>
        <w:tblW w:w="0" w:type="auto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460"/>
      </w:tblGrid>
      <w:tr>
        <w:trPr/>
        <w:tc>
          <w:tcPr>
            <w:tcW w:w="10492" w:type="dxa"/>
            <w:textDirection w:val="lrTb"/>
            <w:noWrap w:val="false"/>
          </w:tcPr>
          <w:p>
            <w:pPr>
              <w:ind w:left="567"/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Contexte professionnel</w:t>
            </w:r>
            <w:r/>
          </w:p>
          <w:p>
            <w:pPr>
              <w:ind w:lef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</w:r>
            <w:r/>
          </w:p>
          <w:p>
            <w:pPr>
              <w:ind w:left="56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Votre restaurant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qui assure aussi des prestations de traiteur,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reçoit un appel d’offre pour l’organisation d’un repas de mariage pour 60 invités. </w:t>
            </w:r>
            <w:r/>
          </w:p>
          <w:p>
            <w:pPr>
              <w:ind w:left="56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La salle réservée pour ce repas est la salle polyvalente d’OULMES (plan en annexe 1).</w:t>
            </w:r>
            <w:r/>
          </w:p>
          <w:p>
            <w:pPr>
              <w:ind w:left="56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Cette salle peut accueillir jusqu’à 100 personnes assises. </w:t>
            </w:r>
            <w:r/>
          </w:p>
          <w:p>
            <w:pPr>
              <w:ind w:left="56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 cette salle on accède directement à la scène, au bar, aux toilettes, aux vestiaires, à la plonge et aux salles de préparations froides et chaudes (cuisine).</w:t>
            </w:r>
            <w:r/>
          </w:p>
          <w:p>
            <w:pPr>
              <w:ind w:left="567"/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Travail à réaliser</w:t>
            </w:r>
            <w:r/>
          </w:p>
          <w:p>
            <w:pPr>
              <w:ind w:left="567" w:right="17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</w:r>
            <w:r/>
          </w:p>
          <w:p>
            <w:pPr>
              <w:ind w:left="56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Votre travail consiste à proposer à votre client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un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plan de salle pour 60 personnes, à l’échelle 1/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5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0</w:t>
            </w:r>
            <w:r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ème 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tenant compte des éléments suivants :</w:t>
            </w:r>
            <w:r/>
          </w:p>
          <w:p>
            <w:pPr>
              <w:pStyle w:val="197"/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buffet est souhaité pour l’apéritif et le dessert ;</w:t>
            </w:r>
            <w:r/>
          </w:p>
          <w:p>
            <w:pPr>
              <w:pStyle w:val="197"/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norme d’implantation des tables sera de type « grand confort »</w:t>
            </w:r>
            <w:r/>
          </w:p>
          <w:p>
            <w:pPr>
              <w:pStyle w:val="197"/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table d’honneur où dineront les mariés sera clairement visible sur le plan</w:t>
            </w:r>
            <w:r/>
          </w:p>
          <w:p>
            <w:pPr>
              <w:ind w:left="56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  <w:r/>
          </w:p>
          <w:p>
            <w:pPr>
              <w:ind w:left="56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Vous attacherez de l’importance à :</w:t>
            </w:r>
            <w:r/>
          </w:p>
          <w:p>
            <w:pPr>
              <w:pStyle w:val="197"/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l’implantation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des tables et l’espace entre elles pour permettre une circulation fluide des convives et du personnel de service ;</w:t>
            </w:r>
            <w:r/>
          </w:p>
          <w:p>
            <w:pPr>
              <w:pStyle w:val="197"/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aux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accès au bar, à la scène, au buffet, à la cuisine et plonge, aux issues de secours ;</w:t>
            </w:r>
            <w:r/>
          </w:p>
          <w:p>
            <w:pPr>
              <w:pStyle w:val="197"/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l’uniformité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de la salle (utilisation si possible de tout l’espace disponible).</w:t>
            </w:r>
            <w:r/>
          </w:p>
          <w:p>
            <w:pPr>
              <w:pStyle w:val="197"/>
              <w:ind w:left="56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</w:r>
            <w:r/>
          </w:p>
        </w:tc>
      </w:tr>
    </w:tbl>
    <w:p>
      <w:pPr>
        <w:ind w:left="567"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Matériel à disposition :</w:t>
      </w:r>
      <w:r/>
    </w:p>
    <w:p>
      <w:pPr>
        <w:ind w:left="56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</w:r>
      <w:r/>
    </w:p>
    <w:p>
      <w:pPr>
        <w:pStyle w:val="197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</w:t>
      </w:r>
      <w:r>
        <w:rPr>
          <w:rFonts w:ascii="Calibri" w:hAnsi="Calibri" w:cs="Calibri"/>
          <w:sz w:val="22"/>
          <w:szCs w:val="22"/>
        </w:rPr>
        <w:t xml:space="preserve">e</w:t>
      </w:r>
      <w:r>
        <w:rPr>
          <w:rFonts w:ascii="Calibri" w:hAnsi="Calibri" w:cs="Calibri"/>
          <w:sz w:val="22"/>
          <w:szCs w:val="22"/>
        </w:rPr>
        <w:t xml:space="preserve"> plan de la salle polyvalente (modèle format A4 en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annexe 1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et </w:t>
      </w:r>
      <w:r>
        <w:rPr>
          <w:rFonts w:ascii="Calibri" w:hAnsi="Calibri" w:cs="Calibri"/>
          <w:b/>
          <w:sz w:val="22"/>
          <w:szCs w:val="22"/>
        </w:rPr>
        <w:t xml:space="preserve">plan à compléter format A3 en annexe 3)</w:t>
      </w:r>
      <w:r/>
    </w:p>
    <w:p>
      <w:pPr>
        <w:pStyle w:val="197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</w:t>
      </w:r>
      <w:r>
        <w:rPr>
          <w:rFonts w:ascii="Calibri" w:hAnsi="Calibri" w:cs="Calibri"/>
          <w:sz w:val="22"/>
          <w:szCs w:val="22"/>
        </w:rPr>
        <w:t xml:space="preserve">alculatrices</w:t>
      </w:r>
      <w:r>
        <w:rPr>
          <w:rFonts w:ascii="Calibri" w:hAnsi="Calibri" w:cs="Calibri"/>
          <w:sz w:val="22"/>
          <w:szCs w:val="22"/>
        </w:rPr>
        <w:t xml:space="preserve">, règles, équerres, compas, rapporteur</w:t>
      </w:r>
      <w:r/>
    </w:p>
    <w:p>
      <w:pPr>
        <w:pStyle w:val="197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</w:t>
      </w:r>
      <w:r>
        <w:rPr>
          <w:rFonts w:ascii="Calibri" w:hAnsi="Calibri" w:cs="Calibri"/>
          <w:sz w:val="22"/>
          <w:szCs w:val="22"/>
        </w:rPr>
        <w:t xml:space="preserve">rdinateur</w:t>
      </w:r>
      <w:r>
        <w:rPr>
          <w:rFonts w:ascii="Calibri" w:hAnsi="Calibri" w:cs="Calibri"/>
          <w:sz w:val="22"/>
          <w:szCs w:val="22"/>
        </w:rPr>
        <w:t xml:space="preserve"> avec pack office pour ceux qui veulent rendre un travail numérique.</w:t>
      </w:r>
      <w:r/>
    </w:p>
    <w:p>
      <w:pPr>
        <w:pStyle w:val="197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</w:t>
      </w:r>
      <w:r>
        <w:rPr>
          <w:rFonts w:ascii="Calibri" w:hAnsi="Calibri" w:cs="Calibri"/>
          <w:sz w:val="22"/>
          <w:szCs w:val="22"/>
        </w:rPr>
        <w:t xml:space="preserve">es</w:t>
      </w:r>
      <w:r>
        <w:rPr>
          <w:rFonts w:ascii="Calibri" w:hAnsi="Calibri" w:cs="Calibri"/>
          <w:sz w:val="22"/>
          <w:szCs w:val="22"/>
        </w:rPr>
        <w:t xml:space="preserve"> principaux modèles de carcasses de banquets, les dimensions standard des tables à disposition, les normes d’implantation (annexe 2)</w:t>
      </w:r>
      <w:r/>
    </w:p>
    <w:p>
      <w:r/>
      <w:r/>
    </w:p>
    <w:p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Le déroulement des séances</w:t>
      </w:r>
      <w:r/>
    </w:p>
    <w:p>
      <w:pPr>
        <w:rPr>
          <w:rFonts w:ascii="Calibri" w:hAnsi="Calibri" w:cs="Calibri"/>
          <w:b/>
          <w:sz w:val="8"/>
          <w:szCs w:val="8"/>
          <w:u w:val="single"/>
        </w:rPr>
      </w:pPr>
      <w:r>
        <w:rPr>
          <w:rFonts w:ascii="Calibri" w:hAnsi="Calibri" w:cs="Calibri"/>
          <w:b/>
          <w:sz w:val="8"/>
          <w:szCs w:val="8"/>
          <w:u w:val="single"/>
        </w:rPr>
      </w:r>
      <w:r/>
    </w:p>
    <w:p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Séance 1, durée : 1h :</w:t>
      </w:r>
      <w:r/>
    </w:p>
    <w:p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</w:r>
      <w:r/>
    </w:p>
    <w:p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Les élèves s’approprient la problématique. Ils prennent connaissance des éléments à considérer et des attendus</w:t>
      </w:r>
      <w:r>
        <w:rPr>
          <w:rFonts w:ascii="Calibri" w:hAnsi="Calibri" w:cs="Calibri"/>
          <w:sz w:val="22"/>
          <w:szCs w:val="22"/>
        </w:rPr>
        <w:t xml:space="preserve"> de la séquence. Ils réalisent éventuellement des ébauches de plan. Ils démarrent les premiers calculs. </w:t>
      </w:r>
      <w:r/>
    </w:p>
    <w:p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Les professeurs de Services et de Mathématiques apportent aides et conseils aux élèves dans leurs recherches.</w:t>
      </w:r>
      <w:r/>
    </w:p>
    <w:p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</w:r>
      <w:r/>
    </w:p>
    <w:p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Séance 2 et 3 durée : 2x1h :</w:t>
      </w:r>
      <w:r/>
    </w:p>
    <w:p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</w:r>
      <w:r/>
    </w:p>
    <w:p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Les élèves calculent les dimensions des tables. Ils tracent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et découpent leurs patrons. Le</w:t>
      </w:r>
      <w:r>
        <w:rPr>
          <w:rFonts w:ascii="Calibri" w:hAnsi="Calibri" w:cs="Calibri"/>
          <w:sz w:val="22"/>
          <w:szCs w:val="22"/>
        </w:rPr>
        <w:t xml:space="preserve">s élèves conjecturent différentes implantations</w:t>
      </w:r>
      <w:r>
        <w:rPr>
          <w:rFonts w:ascii="Calibri" w:hAnsi="Calibri" w:cs="Calibri"/>
          <w:sz w:val="22"/>
          <w:szCs w:val="22"/>
        </w:rPr>
        <w:t xml:space="preserve"> en fonction des contraintes données dans le sujet</w:t>
      </w:r>
      <w:r>
        <w:rPr>
          <w:rFonts w:ascii="Calibri" w:hAnsi="Calibri" w:cs="Calibri"/>
          <w:sz w:val="22"/>
          <w:szCs w:val="22"/>
        </w:rPr>
        <w:t xml:space="preserve">. Ils expérimentent</w:t>
      </w:r>
      <w:r>
        <w:rPr>
          <w:rFonts w:ascii="Calibri" w:hAnsi="Calibri" w:cs="Calibri"/>
          <w:sz w:val="22"/>
          <w:szCs w:val="22"/>
        </w:rPr>
        <w:t xml:space="preserve"> et font valider éventuellement les plans par l’enseignant de service.</w:t>
      </w:r>
      <w:r>
        <w:rPr>
          <w:rFonts w:ascii="Calibri" w:hAnsi="Calibri" w:cs="Calibri"/>
          <w:sz w:val="22"/>
          <w:szCs w:val="22"/>
        </w:rPr>
        <w:t xml:space="preserve"> Ils peuvent reconstruire des tables à volonté jusqu’à trouver l’implantation voulu.</w:t>
      </w:r>
      <w:r>
        <w:rPr>
          <w:rFonts w:ascii="Calibri" w:hAnsi="Calibri" w:cs="Calibri"/>
          <w:sz w:val="22"/>
          <w:szCs w:val="22"/>
        </w:rPr>
        <w:t xml:space="preserve"> Ils finalisent leur choix et préparent la restitution orale.</w:t>
      </w:r>
      <w:r/>
    </w:p>
    <w:p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Les plus rapides peuvent réaliser leur plan sur logiciel (</w:t>
      </w:r>
      <w:r>
        <w:rPr>
          <w:rFonts w:ascii="Calibri" w:hAnsi="Calibri" w:cs="Calibri"/>
          <w:sz w:val="22"/>
          <w:szCs w:val="22"/>
        </w:rPr>
        <w:t xml:space="preserve">powerpoint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word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publisher</w:t>
      </w:r>
      <w:r>
        <w:rPr>
          <w:rFonts w:ascii="Calibri" w:hAnsi="Calibri" w:cs="Calibri"/>
          <w:sz w:val="22"/>
          <w:szCs w:val="22"/>
        </w:rPr>
        <w:t xml:space="preserve"> ,</w:t>
      </w:r>
      <w:r>
        <w:rPr>
          <w:rFonts w:ascii="Calibri" w:hAnsi="Calibri" w:cs="Calibri"/>
          <w:sz w:val="22"/>
          <w:szCs w:val="22"/>
        </w:rPr>
        <w:t xml:space="preserve"> ...)</w:t>
      </w:r>
      <w:r/>
    </w:p>
    <w:p>
      <w:pPr>
        <w:rPr>
          <w:rFonts w:ascii="Calibri" w:hAnsi="Calibri" w:cs="Calibri"/>
          <w:sz w:val="20"/>
          <w:szCs w:val="20"/>
        </w:rPr>
        <w:sectPr>
          <w:footnotePr/>
          <w:type w:val="nextPage"/>
          <w:pgSz w:w="11900" w:h="16840"/>
          <w:pgMar w:top="720" w:right="720" w:bottom="426" w:left="720" w:gutter="0" w:header="708" w:footer="708"/>
          <w:cols w:num="1" w:sep="0" w:space="708" w:equalWidth="1"/>
          <w:docGrid w:linePitch="360"/>
        </w:sectPr>
      </w:pPr>
      <w:r>
        <w:rPr>
          <w:rFonts w:ascii="Calibri" w:hAnsi="Calibri" w:cs="Calibri"/>
          <w:sz w:val="20"/>
          <w:szCs w:val="20"/>
        </w:rPr>
      </w:r>
      <w:r/>
    </w:p>
    <w:p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</w:r>
      <w:r/>
    </w:p>
    <w:p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Séance 4, durée 1h minimum :</w:t>
      </w:r>
      <w:r/>
    </w:p>
    <w:p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</w:r>
      <w:r/>
    </w:p>
    <w:p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Les binômes présentent leurs carcasses au groupe. La classe propose une critique constructive sur les points suivants :</w:t>
      </w:r>
      <w:r/>
    </w:p>
    <w:p>
      <w:pPr>
        <w:pStyle w:val="197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respect des consignes</w:t>
      </w:r>
      <w:r/>
    </w:p>
    <w:p>
      <w:pPr>
        <w:pStyle w:val="197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circulation</w:t>
      </w:r>
      <w:r>
        <w:rPr>
          <w:rFonts w:ascii="Calibri" w:hAnsi="Calibri" w:cs="Calibri"/>
        </w:rPr>
        <w:t xml:space="preserve"> dans la salle</w:t>
      </w:r>
      <w:r/>
    </w:p>
    <w:p>
      <w:pPr>
        <w:pStyle w:val="197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L’esthétique de l’implantation</w:t>
      </w:r>
      <w:r/>
    </w:p>
    <w:p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</w:r>
      <w:r/>
    </w:p>
    <w:p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groupe vote pour l’implantation</w:t>
      </w:r>
      <w:r>
        <w:rPr>
          <w:rFonts w:ascii="Calibri" w:hAnsi="Calibri" w:cs="Calibri"/>
        </w:rPr>
        <w:t xml:space="preserve"> la plus professionnelle, qui serait susceptible d’être choisie par le client.</w:t>
      </w:r>
      <w:r>
        <w:rPr>
          <w:rFonts w:ascii="Calibri" w:hAnsi="Calibri" w:cs="Calibri"/>
        </w:rPr>
        <w:t xml:space="preserve"> Une photocopie </w:t>
      </w:r>
      <w:r>
        <w:rPr>
          <w:rFonts w:ascii="Calibri" w:hAnsi="Calibri" w:cs="Calibri"/>
        </w:rPr>
        <w:t xml:space="preserve">de </w:t>
      </w:r>
      <w:r>
        <w:rPr>
          <w:rFonts w:ascii="Calibri" w:hAnsi="Calibri" w:cs="Calibri"/>
        </w:rPr>
        <w:t xml:space="preserve">cette implantation est donnée comme modèle à tous les élèves. </w:t>
      </w:r>
      <w:r>
        <w:rPr>
          <w:rFonts w:ascii="Calibri" w:hAnsi="Calibri" w:cs="Calibri"/>
        </w:rPr>
        <w:t xml:space="preserve">Une synthèse des éléments à retenir et de la plus-value apportée par la séquence est réalisée en fin d’heure.</w:t>
      </w:r>
      <w:r/>
    </w:p>
    <w:p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</w:r>
      <w:r/>
    </w:p>
    <w:p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</w:r>
      <w:r/>
    </w:p>
    <w:p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Une évaluation par binôme peut avoir lieu à l’issue de la séquence avec la grille ci-dessous :</w:t>
      </w:r>
      <w:r/>
    </w:p>
    <w:tbl>
      <w:tblPr>
        <w:tblStyle w:val="211"/>
        <w:tblpPr w:horzAnchor="margin" w:tblpXSpec="left" w:vertAnchor="page" w:tblpY="5296" w:leftFromText="141" w:topFromText="0" w:rightFromText="141" w:bottomFromText="0"/>
        <w:tblW w:w="10598" w:type="dxa"/>
        <w:tblLook w:val="04A0" w:firstRow="1" w:lastRow="0" w:firstColumn="1" w:lastColumn="0" w:noHBand="0" w:noVBand="1"/>
      </w:tblPr>
      <w:tblGrid>
        <w:gridCol w:w="1951"/>
        <w:gridCol w:w="7088"/>
        <w:gridCol w:w="1559"/>
      </w:tblGrid>
      <w:tr>
        <w:trPr>
          <w:trHeight w:val="416"/>
        </w:trPr>
        <w:tc>
          <w:tcPr>
            <w:gridSpan w:val="3"/>
            <w:shd w:val="clear" w:color="auto" w:fill="BFBFBF" w:themeFill="background1" w:themeFillShade="BF"/>
            <w:tcW w:w="10598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Grille d’évaluation</w:t>
            </w:r>
            <w:r>
              <w:rPr>
                <w:b/>
              </w:rPr>
              <w:t xml:space="preserve"> 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195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Compétences</w:t>
            </w:r>
            <w:r/>
          </w:p>
        </w:tc>
        <w:tc>
          <w:tcPr>
            <w:shd w:val="clear" w:color="auto" w:fill="BFBFBF" w:themeFill="background1" w:themeFillShade="BF"/>
            <w:tcW w:w="708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Capacités</w:t>
            </w:r>
            <w:r/>
          </w:p>
        </w:tc>
        <w:tc>
          <w:tcPr>
            <w:shd w:val="clear" w:color="auto" w:fill="BFBFBF" w:themeFill="background1" w:themeFillShade="BF"/>
            <w:tcW w:w="1559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Evaluations</w:t>
            </w:r>
            <w:r/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A, ECA, NA</w:t>
            </w:r>
            <w:r/>
          </w:p>
        </w:tc>
      </w:tr>
      <w:tr>
        <w:trPr>
          <w:trHeight w:val="469"/>
        </w:trPr>
        <w:tc>
          <w:tcPr>
            <w:tcW w:w="19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S’approprier</w:t>
            </w:r>
            <w:r/>
          </w:p>
        </w:tc>
        <w:tc>
          <w:tcPr>
            <w:tcW w:w="7088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  <w:r>
              <w:rPr>
                <w:sz w:val="20"/>
                <w:szCs w:val="20"/>
              </w:rPr>
              <w:t xml:space="preserve"> Rechercher, extraire et organiser l’information.</w:t>
            </w:r>
            <w:r/>
          </w:p>
          <w:p>
            <w:r>
              <w:rPr>
                <w:sz w:val="20"/>
                <w:szCs w:val="20"/>
              </w:rPr>
              <w:t xml:space="preserve"> Traduire des informations, des codages.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469"/>
        </w:trPr>
        <w:tc>
          <w:tcPr>
            <w:tcW w:w="19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Analyser, Raisonner</w:t>
            </w:r>
            <w:r/>
          </w:p>
        </w:tc>
        <w:tc>
          <w:tcPr>
            <w:tcW w:w="7088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  <w:r>
              <w:rPr>
                <w:sz w:val="20"/>
                <w:szCs w:val="20"/>
              </w:rPr>
              <w:t xml:space="preserve"> Émettre des conjectures, formuler des hypothèses.</w:t>
            </w:r>
            <w:r/>
          </w:p>
          <w:p>
            <w:r>
              <w:rPr>
                <w:sz w:val="20"/>
                <w:szCs w:val="20"/>
              </w:rPr>
              <w:t xml:space="preserve"> Proposer une méthode de résolution.</w:t>
            </w:r>
            <w:r/>
          </w:p>
          <w:p>
            <w:r>
              <w:rPr>
                <w:sz w:val="20"/>
                <w:szCs w:val="20"/>
              </w:rPr>
              <w:t xml:space="preserve"> Choisir un modèle ou des lois pertinentes.</w:t>
            </w:r>
            <w:r/>
          </w:p>
          <w:p>
            <w:r>
              <w:rPr>
                <w:sz w:val="20"/>
                <w:szCs w:val="20"/>
              </w:rPr>
              <w:t xml:space="preserve"> Élaborer un algorithme.</w:t>
            </w:r>
            <w:r/>
          </w:p>
          <w:p>
            <w:r>
              <w:rPr>
                <w:sz w:val="20"/>
                <w:szCs w:val="20"/>
              </w:rPr>
              <w:t xml:space="preserve"> Choisir, élaborer un protocole.</w:t>
            </w:r>
            <w:r/>
          </w:p>
          <w:p>
            <w:r>
              <w:rPr>
                <w:sz w:val="20"/>
                <w:szCs w:val="20"/>
              </w:rPr>
              <w:t xml:space="preserve"> Évaluer des ordres de grandeur.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469"/>
        </w:trPr>
        <w:tc>
          <w:tcPr>
            <w:tcW w:w="19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Réaliser</w:t>
            </w:r>
            <w:r/>
          </w:p>
        </w:tc>
        <w:tc>
          <w:tcPr>
            <w:tcW w:w="7088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  <w:r>
              <w:rPr>
                <w:sz w:val="20"/>
                <w:szCs w:val="20"/>
              </w:rPr>
              <w:t xml:space="preserve"> Mettre en oeuvre les étapes d’une démarche.</w:t>
            </w:r>
            <w:r/>
          </w:p>
          <w:p>
            <w:r>
              <w:rPr>
                <w:sz w:val="20"/>
                <w:szCs w:val="20"/>
              </w:rPr>
              <w:t xml:space="preserve"> Utiliser un modèle.</w:t>
            </w:r>
            <w:r/>
          </w:p>
          <w:p>
            <w:r>
              <w:rPr>
                <w:sz w:val="20"/>
                <w:szCs w:val="20"/>
              </w:rPr>
              <w:t xml:space="preserve"> Représenter (tableau, graphique ...), changer de registre.</w:t>
            </w:r>
            <w:r/>
          </w:p>
          <w:p>
            <w:r>
              <w:rPr>
                <w:sz w:val="20"/>
                <w:szCs w:val="20"/>
              </w:rPr>
              <w:t xml:space="preserve"> Calculer (calcul littéral, calcul algébrique, calcul numérique exact ou approché, instrumenté ou à la main).</w:t>
            </w:r>
            <w:r/>
          </w:p>
          <w:p>
            <w:r>
              <w:rPr>
                <w:sz w:val="20"/>
                <w:szCs w:val="20"/>
              </w:rPr>
              <w:t xml:space="preserve"> Mettre en oeuvre des algorithmes.</w:t>
            </w:r>
            <w:r/>
          </w:p>
          <w:p>
            <w:r>
              <w:rPr>
                <w:sz w:val="20"/>
                <w:szCs w:val="20"/>
              </w:rPr>
              <w:t xml:space="preserve"> Expérimenter – en particulier à l’aide d’outils numériques (logiciels ou des dispositifs d’acquisition de données …).</w:t>
            </w:r>
            <w:r/>
          </w:p>
          <w:p>
            <w:r>
              <w:rPr>
                <w:sz w:val="20"/>
                <w:szCs w:val="20"/>
              </w:rPr>
              <w:t xml:space="preserve"> Faire une simulation.</w:t>
            </w:r>
            <w:r/>
          </w:p>
          <w:p>
            <w:r>
              <w:rPr>
                <w:sz w:val="20"/>
                <w:szCs w:val="20"/>
              </w:rPr>
              <w:t xml:space="preserve"> Effectuer des procédures courantes (représentations, collectes de données, utilisation du matériel, etc.).</w:t>
            </w:r>
            <w:r/>
          </w:p>
          <w:p>
            <w:r>
              <w:rPr>
                <w:sz w:val="20"/>
                <w:szCs w:val="20"/>
              </w:rPr>
              <w:t xml:space="preserve"> Mettre en oeuvre un protocole expérimental en respectant les règles de sécurité à partir d’un schéma ou d’un descriptif.</w:t>
            </w:r>
            <w:r/>
          </w:p>
          <w:p>
            <w:r>
              <w:rPr>
                <w:sz w:val="20"/>
                <w:szCs w:val="20"/>
              </w:rPr>
              <w:t xml:space="preserve"> Organiser son poste de travail.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469"/>
        </w:trPr>
        <w:tc>
          <w:tcPr>
            <w:tcBorders>
              <w:bottom w:val="single" w:sz="4" w:space="0" w:color="auto"/>
            </w:tcBorders>
            <w:tcW w:w="19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Valider</w:t>
            </w:r>
            <w:r/>
          </w:p>
        </w:tc>
        <w:tc>
          <w:tcPr>
            <w:tcBorders>
              <w:bottom w:val="single" w:sz="4" w:space="0" w:color="auto"/>
            </w:tcBorders>
            <w:tcW w:w="7088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/>
            <w:r>
              <w:rPr>
                <w:sz w:val="20"/>
                <w:szCs w:val="20"/>
              </w:rPr>
              <w:t xml:space="preserve">Exploiter et interpréter les résultats obtenus ou les observations effectuées afin de répondre à une problématique.</w:t>
            </w:r>
            <w:r/>
          </w:p>
          <w:p>
            <w:r>
              <w:rPr>
                <w:sz w:val="20"/>
                <w:szCs w:val="20"/>
              </w:rPr>
              <w:t xml:space="preserve"> Valider ou invalider un modèle, une hypothèse en argumentant.</w:t>
            </w:r>
            <w:r/>
          </w:p>
          <w:p>
            <w:r>
              <w:rPr>
                <w:sz w:val="20"/>
                <w:szCs w:val="20"/>
              </w:rPr>
              <w:t xml:space="preserve"> Contrôler la vraisemblance d’une conjecture.</w:t>
            </w:r>
            <w:r/>
          </w:p>
          <w:p>
            <w:r>
              <w:rPr>
                <w:sz w:val="20"/>
                <w:szCs w:val="20"/>
              </w:rPr>
              <w:t xml:space="preserve"> Critiquer un résultat (signe, ordre de grandeur, identification des sources d’erreur), argumenter.</w:t>
            </w:r>
            <w:r/>
          </w:p>
          <w:p>
            <w:r>
              <w:rPr>
                <w:sz w:val="20"/>
                <w:szCs w:val="20"/>
              </w:rPr>
              <w:t xml:space="preserve"> Conduire un raisonnement logique et suivre des règles établies pour parvenir à une conclusion (démontrer, prouver).</w:t>
            </w:r>
            <w:r/>
          </w:p>
        </w:tc>
        <w:tc>
          <w:tcPr>
            <w:tcBorders>
              <w:bottom w:val="single" w:sz="4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469"/>
        </w:trPr>
        <w:tc>
          <w:tcPr>
            <w:tcBorders>
              <w:bottom w:val="single" w:sz="4" w:space="0" w:color="auto"/>
            </w:tcBorders>
            <w:tcW w:w="19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Communiquer</w:t>
            </w:r>
            <w:r/>
          </w:p>
        </w:tc>
        <w:tc>
          <w:tcPr>
            <w:tcBorders>
              <w:bottom w:val="single" w:sz="4" w:space="0" w:color="auto"/>
            </w:tcBorders>
            <w:tcW w:w="7088" w:type="dxa"/>
            <w:vAlign w:val="center"/>
            <w:textDirection w:val="lrTb"/>
            <w:noWrap w:val="false"/>
          </w:tcPr>
          <w:p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  <w:r>
              <w:rPr>
                <w:sz w:val="20"/>
                <w:szCs w:val="20"/>
              </w:rPr>
              <w:t xml:space="preserve">À l’écrit comme à l’oral :</w:t>
            </w:r>
            <w:r/>
          </w:p>
          <w:p>
            <w:pPr>
              <w:keepNext/>
            </w:pPr>
            <w:r>
              <w:rPr>
                <w:sz w:val="20"/>
                <w:szCs w:val="20"/>
              </w:rPr>
              <w:t xml:space="preserve"> Rendre compte d’un résultat en utilisant un vocabulaire adapté et choisir des modes de représentation appropriés.</w:t>
            </w:r>
            <w:r/>
          </w:p>
          <w:p>
            <w:pPr>
              <w:keepNext/>
            </w:pPr>
            <w:r>
              <w:rPr>
                <w:sz w:val="20"/>
                <w:szCs w:val="20"/>
              </w:rPr>
              <w:t xml:space="preserve"> Expliquer une démarche.</w:t>
            </w:r>
            <w:r/>
          </w:p>
        </w:tc>
        <w:tc>
          <w:tcPr>
            <w:tcBorders>
              <w:bottom w:val="single" w:sz="4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r/>
      <w:r/>
    </w:p>
    <w:sectPr>
      <w:footnotePr/>
      <w:type w:val="nextPage"/>
      <w:pgSz w:w="11900" w:h="16840"/>
      <w:pgMar w:top="720" w:right="720" w:bottom="426" w:left="720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30102010509060703"/>
  </w:font>
  <w:font w:name="Courier New">
    <w:panose1 w:val="02070309020205020404"/>
  </w:font>
  <w:font w:name="Calibri">
    <w:panose1 w:val="020F0502020204030204"/>
  </w:font>
  <w:font w:name="Lucida Grande">
    <w:panose1 w:val="020B0500000000000000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bullet"/>
      <w:suff w:val="tab"/>
      <w:lvlText w:val="-"/>
      <w:lvlJc w:val="left"/>
      <w:pPr>
        <w:ind w:left="720" w:hanging="359"/>
      </w:pPr>
      <w:rPr>
        <w:rFonts w:ascii="Cambria" w:hAnsi="Cambria" w:cs="Cambria" w:eastAsia="Cambria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7"/>
      <w:numFmt w:val="bullet"/>
      <w:suff w:val="tab"/>
      <w:lvlText w:val="-"/>
      <w:lvlJc w:val="left"/>
      <w:pPr>
        <w:ind w:left="720" w:hanging="359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suff w:val="tab"/>
      <w:lvlText w:val=""/>
      <w:lvlJc w:val="left"/>
      <w:pPr>
        <w:ind w:left="720" w:hanging="359"/>
      </w:pPr>
      <w:rPr>
        <w:rFonts w:ascii="Wingdings" w:hAnsi="Wingdings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suff w:val="tab"/>
      <w:lvlText w:val=""/>
      <w:lvlJc w:val="left"/>
      <w:pPr>
        <w:ind w:left="720" w:hanging="359"/>
      </w:pPr>
      <w:rPr>
        <w:rFonts w:ascii="Wingdings" w:hAnsi="Wingdings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4"/>
      <w:numFmt w:val="bullet"/>
      <w:suff w:val="tab"/>
      <w:lvlText w:val="-"/>
      <w:lvlJc w:val="left"/>
      <w:pPr>
        <w:ind w:left="720" w:hanging="359"/>
      </w:pPr>
      <w:rPr>
        <w:rFonts w:ascii="Cambria" w:hAnsi="Cambria" w:cs="Cambria" w:eastAsia="Cambria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suff w:val="tab"/>
      <w:lvlText w:val=""/>
      <w:lvlJc w:val="left"/>
      <w:pPr>
        <w:ind w:left="927" w:hanging="359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647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367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087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807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527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247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967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687" w:hanging="359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suff w:val="tab"/>
      <w:lvlText w:val="-"/>
      <w:lvlJc w:val="left"/>
      <w:pPr>
        <w:ind w:left="927" w:hanging="359"/>
      </w:pPr>
      <w:rPr>
        <w:rFonts w:ascii="Calibri" w:hAnsi="Calibri" w:cs="Calibri" w:eastAsia="Cambria" w:hint="default"/>
      </w:rPr>
    </w:lvl>
    <w:lvl w:ilvl="1">
      <w:start w:val="1"/>
      <w:numFmt w:val="bullet"/>
      <w:suff w:val="tab"/>
      <w:lvlText w:val="o"/>
      <w:lvlJc w:val="left"/>
      <w:pPr>
        <w:ind w:left="1647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367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087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807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527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247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967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687" w:hanging="359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pStyle w:val="183"/>
      <w:suff w:val="tab"/>
      <w:lvlText w:val="%1"/>
      <w:lvlJc w:val="left"/>
      <w:pPr>
        <w:ind w:left="432" w:hanging="431"/>
        <w:tabs>
          <w:tab w:val="left" w:pos="432" w:leader="none"/>
        </w:tabs>
      </w:pPr>
      <w:rPr>
        <w:rFonts w:hint="default"/>
        <w:b/>
        <w:i w:val="false"/>
      </w:rPr>
    </w:lvl>
    <w:lvl w:ilvl="1">
      <w:start w:val="1"/>
      <w:numFmt w:val="decimal"/>
      <w:pStyle w:val="184"/>
      <w:suff w:val="tab"/>
      <w:lvlText w:val="%1.%2"/>
      <w:lvlJc w:val="left"/>
      <w:pPr>
        <w:ind w:left="576" w:hanging="575"/>
        <w:tabs>
          <w:tab w:val="left" w:pos="576" w:leader="none"/>
        </w:tabs>
      </w:pPr>
      <w:rPr>
        <w:rFonts w:hint="default"/>
        <w:b/>
        <w:i w:val="false"/>
      </w:rPr>
    </w:lvl>
    <w:lvl w:ilvl="2">
      <w:start w:val="1"/>
      <w:numFmt w:val="decimal"/>
      <w:pStyle w:val="185"/>
      <w:suff w:val="tab"/>
      <w:lvlText w:val="%1.%2.%3"/>
      <w:lvlJc w:val="left"/>
      <w:pPr>
        <w:ind w:left="720" w:hanging="719"/>
        <w:tabs>
          <w:tab w:val="left" w:pos="720" w:leader="none"/>
        </w:tabs>
      </w:pPr>
      <w:rPr>
        <w:rFonts w:hint="default"/>
        <w:b/>
        <w:i w:val="false"/>
      </w:rPr>
    </w:lvl>
    <w:lvl w:ilvl="3">
      <w:start w:val="1"/>
      <w:numFmt w:val="decimal"/>
      <w:pStyle w:val="186"/>
      <w:suff w:val="tab"/>
      <w:lvlText w:val="%1.%2.%3.%4"/>
      <w:lvlJc w:val="left"/>
      <w:pPr>
        <w:ind w:left="864" w:hanging="863"/>
        <w:tabs>
          <w:tab w:val="left" w:pos="1080" w:leader="none"/>
        </w:tabs>
      </w:pPr>
      <w:rPr>
        <w:rFonts w:hint="default"/>
        <w:b/>
        <w:i w:val="false"/>
      </w:rPr>
    </w:lvl>
    <w:lvl w:ilvl="4">
      <w:start w:val="1"/>
      <w:numFmt w:val="decimal"/>
      <w:pStyle w:val="187"/>
      <w:suff w:val="tab"/>
      <w:lvlText w:val="%1.%2.%3.%4.%5"/>
      <w:lvlJc w:val="left"/>
      <w:pPr>
        <w:ind w:left="1008" w:hanging="1007"/>
        <w:tabs>
          <w:tab w:val="left" w:pos="1008" w:leader="none"/>
        </w:tabs>
      </w:pPr>
      <w:rPr>
        <w:rFonts w:hint="default"/>
      </w:rPr>
    </w:lvl>
    <w:lvl w:ilvl="5">
      <w:start w:val="1"/>
      <w:numFmt w:val="decimal"/>
      <w:pStyle w:val="188"/>
      <w:suff w:val="tab"/>
      <w:lvlText w:val="%1.%2.%3.%4.%5.%6"/>
      <w:lvlJc w:val="left"/>
      <w:pPr>
        <w:ind w:left="1152" w:hanging="1151"/>
        <w:tabs>
          <w:tab w:val="left" w:pos="1152" w:leader="none"/>
        </w:tabs>
      </w:pPr>
      <w:rPr>
        <w:rFonts w:hint="default"/>
      </w:rPr>
    </w:lvl>
    <w:lvl w:ilvl="6">
      <w:start w:val="1"/>
      <w:numFmt w:val="decimal"/>
      <w:pStyle w:val="189"/>
      <w:suff w:val="tab"/>
      <w:lvlText w:val="%1.%2.%3.%4.%5.%6.%7"/>
      <w:lvlJc w:val="left"/>
      <w:pPr>
        <w:ind w:left="1296" w:hanging="1295"/>
        <w:tabs>
          <w:tab w:val="left" w:pos="1296" w:leader="none"/>
        </w:tabs>
      </w:pPr>
      <w:rPr>
        <w:rFonts w:hint="default"/>
      </w:rPr>
    </w:lvl>
    <w:lvl w:ilvl="7">
      <w:start w:val="1"/>
      <w:numFmt w:val="decimal"/>
      <w:pStyle w:val="190"/>
      <w:suff w:val="tab"/>
      <w:lvlText w:val="%1.%2.%3.%4.%5.%6.%7.%8"/>
      <w:lvlJc w:val="left"/>
      <w:pPr>
        <w:ind w:left="1440" w:hanging="1439"/>
        <w:tabs>
          <w:tab w:val="left" w:pos="1440" w:leader="none"/>
        </w:tabs>
      </w:pPr>
      <w:rPr>
        <w:rFonts w:hint="default"/>
      </w:rPr>
    </w:lvl>
    <w:lvl w:ilvl="8">
      <w:start w:val="1"/>
      <w:numFmt w:val="decimal"/>
      <w:pStyle w:val="191"/>
      <w:suff w:val="tab"/>
      <w:lvlText w:val="%1.%2.%3.%4.%5.%6.%7.%8.%9"/>
      <w:lvlJc w:val="left"/>
      <w:pPr>
        <w:ind w:left="1584" w:hanging="1583"/>
        <w:tabs>
          <w:tab w:val="left" w:pos="1584" w:leader="none"/>
        </w:tabs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suff w:val="tab"/>
      <w:lvlText w:val="–"/>
      <w:lvlJc w:val="left"/>
      <w:pPr>
        <w:ind w:left="720" w:hanging="359"/>
      </w:pPr>
      <w:rPr>
        <w:rFonts w:ascii="Arial" w:hAnsi="Arial" w:cs="Arial" w:eastAsia="Arial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hAnsi="Cambria" w:cs="Cambria" w:eastAsia="Cambria"/>
        <w:color w:val="auto"/>
        <w:spacing w:val="0"/>
        <w:position w:val="0"/>
        <w:sz w:val="24"/>
        <w:szCs w:val="24"/>
        <w:lang w:val="fr-FR" w:bidi="ar-SA" w:eastAsia="fr-FR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192"/>
    <w:link w:val="18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192"/>
    <w:link w:val="18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192"/>
    <w:link w:val="18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192"/>
    <w:link w:val="186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192"/>
    <w:link w:val="187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192"/>
    <w:link w:val="188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192"/>
    <w:link w:val="1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192"/>
    <w:link w:val="190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192"/>
    <w:link w:val="191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82"/>
    <w:next w:val="18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92"/>
    <w:link w:val="32"/>
    <w:uiPriority w:val="10"/>
    <w:rPr>
      <w:sz w:val="48"/>
      <w:szCs w:val="48"/>
    </w:rPr>
  </w:style>
  <w:style w:type="paragraph" w:styleId="34">
    <w:name w:val="Subtitle"/>
    <w:basedOn w:val="182"/>
    <w:next w:val="18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92"/>
    <w:link w:val="34"/>
    <w:uiPriority w:val="11"/>
    <w:rPr>
      <w:sz w:val="24"/>
      <w:szCs w:val="24"/>
    </w:rPr>
  </w:style>
  <w:style w:type="paragraph" w:styleId="36">
    <w:name w:val="Quote"/>
    <w:basedOn w:val="182"/>
    <w:next w:val="18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82"/>
    <w:next w:val="18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192"/>
    <w:link w:val="209"/>
    <w:uiPriority w:val="99"/>
  </w:style>
  <w:style w:type="paragraph" w:styleId="42">
    <w:name w:val="Footer"/>
    <w:basedOn w:val="182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92"/>
    <w:link w:val="42"/>
    <w:uiPriority w:val="99"/>
  </w:style>
  <w:style w:type="table" w:styleId="45">
    <w:name w:val="Lined"/>
    <w:basedOn w:val="1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82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92"/>
    <w:uiPriority w:val="99"/>
    <w:unhideWhenUsed/>
    <w:rPr>
      <w:vertAlign w:val="superscript"/>
    </w:rPr>
  </w:style>
  <w:style w:type="paragraph" w:styleId="70">
    <w:name w:val="toc 1"/>
    <w:basedOn w:val="182"/>
    <w:next w:val="182"/>
    <w:uiPriority w:val="39"/>
    <w:unhideWhenUsed/>
    <w:pPr>
      <w:ind w:left="0" w:right="0" w:hanging="0"/>
      <w:spacing w:after="57"/>
    </w:pPr>
  </w:style>
  <w:style w:type="paragraph" w:styleId="71">
    <w:name w:val="toc 2"/>
    <w:basedOn w:val="182"/>
    <w:next w:val="182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82"/>
    <w:next w:val="182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82"/>
    <w:next w:val="182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82"/>
    <w:next w:val="182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82"/>
    <w:next w:val="182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82"/>
    <w:next w:val="182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82"/>
    <w:next w:val="182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82"/>
    <w:next w:val="182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82" w:default="1">
    <w:name w:val="Normal"/>
    <w:qFormat/>
  </w:style>
  <w:style w:type="paragraph" w:styleId="183">
    <w:name w:val="Heading 1"/>
    <w:basedOn w:val="182"/>
    <w:link w:val="198"/>
    <w:qFormat/>
    <w:rPr>
      <w:rFonts w:ascii="Arial Unicode MS" w:hAnsi="Arial Unicode MS" w:cs="Arial Unicode MS" w:eastAsia="Arial Unicode MS"/>
      <w:b/>
      <w:bCs/>
      <w:color w:val="000000"/>
      <w:sz w:val="48"/>
      <w:szCs w:val="48"/>
    </w:rPr>
    <w:pPr>
      <w:numPr>
        <w:numId w:val="3"/>
      </w:numPr>
      <w:spacing w:after="100" w:afterAutospacing="1" w:before="100" w:beforeAutospacing="1"/>
      <w:outlineLvl w:val="0"/>
    </w:pPr>
  </w:style>
  <w:style w:type="paragraph" w:styleId="184">
    <w:name w:val="Heading 2"/>
    <w:basedOn w:val="182"/>
    <w:next w:val="182"/>
    <w:link w:val="199"/>
    <w:qFormat/>
    <w:rPr>
      <w:rFonts w:ascii="Arial" w:hAnsi="Arial" w:cs="Arial" w:eastAsia="Times New Roman"/>
      <w:b/>
      <w:bCs/>
      <w:i/>
      <w:iCs/>
      <w:sz w:val="28"/>
      <w:szCs w:val="28"/>
    </w:rPr>
    <w:pPr>
      <w:numPr>
        <w:ilvl w:val="1"/>
        <w:numId w:val="3"/>
      </w:numPr>
      <w:keepNext/>
      <w:spacing w:after="60" w:before="240"/>
      <w:outlineLvl w:val="1"/>
    </w:pPr>
  </w:style>
  <w:style w:type="paragraph" w:styleId="185">
    <w:name w:val="Heading 3"/>
    <w:basedOn w:val="182"/>
    <w:link w:val="200"/>
    <w:qFormat/>
    <w:rPr>
      <w:rFonts w:ascii="Arial" w:hAnsi="Arial" w:cs="Arial" w:eastAsia="Arial Unicode MS"/>
      <w:b/>
      <w:bCs/>
      <w:color w:val="000000"/>
      <w:sz w:val="27"/>
      <w:szCs w:val="27"/>
    </w:rPr>
    <w:pPr>
      <w:numPr>
        <w:ilvl w:val="2"/>
        <w:numId w:val="3"/>
      </w:numPr>
      <w:spacing w:after="120" w:before="120"/>
      <w:outlineLvl w:val="2"/>
    </w:pPr>
  </w:style>
  <w:style w:type="paragraph" w:styleId="186">
    <w:name w:val="Heading 4"/>
    <w:basedOn w:val="182"/>
    <w:link w:val="201"/>
    <w:qFormat/>
    <w:rPr>
      <w:rFonts w:ascii="Arial" w:hAnsi="Arial" w:cs="Arial" w:eastAsia="Arial Unicode MS"/>
      <w:b/>
      <w:bCs/>
      <w:color w:val="000000"/>
      <w:sz w:val="20"/>
      <w:szCs w:val="20"/>
    </w:rPr>
    <w:pPr>
      <w:numPr>
        <w:ilvl w:val="3"/>
        <w:numId w:val="3"/>
      </w:numPr>
      <w:ind w:left="720" w:right="720" w:hanging="861"/>
      <w:spacing w:after="120" w:before="120"/>
      <w:outlineLvl w:val="3"/>
    </w:pPr>
  </w:style>
  <w:style w:type="paragraph" w:styleId="187">
    <w:name w:val="Heading 5"/>
    <w:basedOn w:val="182"/>
    <w:next w:val="182"/>
    <w:link w:val="202"/>
    <w:qFormat/>
    <w:rPr>
      <w:rFonts w:ascii="Times New Roman" w:hAnsi="Times New Roman" w:cs="Times New Roman" w:eastAsia="Times New Roman"/>
      <w:b/>
      <w:bCs/>
      <w:i/>
      <w:iCs/>
      <w:sz w:val="26"/>
      <w:szCs w:val="26"/>
    </w:rPr>
    <w:pPr>
      <w:numPr>
        <w:ilvl w:val="4"/>
        <w:numId w:val="3"/>
      </w:numPr>
      <w:spacing w:after="60" w:before="240"/>
      <w:outlineLvl w:val="4"/>
    </w:pPr>
  </w:style>
  <w:style w:type="paragraph" w:styleId="188">
    <w:name w:val="Heading 6"/>
    <w:basedOn w:val="182"/>
    <w:next w:val="182"/>
    <w:link w:val="203"/>
    <w:qFormat/>
    <w:rPr>
      <w:rFonts w:ascii="Times New Roman" w:hAnsi="Times New Roman" w:cs="Times New Roman" w:eastAsia="Times New Roman"/>
      <w:b/>
      <w:bCs/>
      <w:sz w:val="22"/>
      <w:szCs w:val="22"/>
    </w:rPr>
    <w:pPr>
      <w:numPr>
        <w:ilvl w:val="5"/>
        <w:numId w:val="3"/>
      </w:numPr>
      <w:spacing w:after="60" w:before="240"/>
      <w:outlineLvl w:val="5"/>
    </w:pPr>
  </w:style>
  <w:style w:type="paragraph" w:styleId="189">
    <w:name w:val="Heading 7"/>
    <w:basedOn w:val="182"/>
    <w:next w:val="182"/>
    <w:link w:val="204"/>
    <w:qFormat/>
    <w:rPr>
      <w:rFonts w:ascii="Times New Roman" w:hAnsi="Times New Roman" w:cs="Times New Roman" w:eastAsia="Times New Roman"/>
    </w:rPr>
    <w:pPr>
      <w:numPr>
        <w:ilvl w:val="6"/>
        <w:numId w:val="3"/>
      </w:numPr>
      <w:spacing w:after="60" w:before="240"/>
      <w:outlineLvl w:val="6"/>
    </w:pPr>
  </w:style>
  <w:style w:type="paragraph" w:styleId="190">
    <w:name w:val="Heading 8"/>
    <w:basedOn w:val="182"/>
    <w:next w:val="182"/>
    <w:link w:val="205"/>
    <w:qFormat/>
    <w:rPr>
      <w:rFonts w:ascii="Times New Roman" w:hAnsi="Times New Roman" w:cs="Times New Roman" w:eastAsia="Times New Roman"/>
      <w:i/>
      <w:iCs/>
    </w:rPr>
    <w:pPr>
      <w:numPr>
        <w:ilvl w:val="7"/>
        <w:numId w:val="3"/>
      </w:numPr>
      <w:spacing w:after="60" w:before="240"/>
      <w:outlineLvl w:val="7"/>
    </w:pPr>
  </w:style>
  <w:style w:type="paragraph" w:styleId="191">
    <w:name w:val="Heading 9"/>
    <w:basedOn w:val="182"/>
    <w:next w:val="182"/>
    <w:link w:val="206"/>
    <w:qFormat/>
    <w:rPr>
      <w:rFonts w:ascii="Arial" w:hAnsi="Arial" w:cs="Arial" w:eastAsia="Times New Roman"/>
      <w:sz w:val="22"/>
      <w:szCs w:val="22"/>
    </w:rPr>
    <w:pPr>
      <w:numPr>
        <w:ilvl w:val="8"/>
        <w:numId w:val="3"/>
      </w:numPr>
      <w:spacing w:after="60" w:before="240"/>
      <w:outlineLvl w:val="8"/>
    </w:pPr>
  </w:style>
  <w:style w:type="character" w:styleId="192" w:default="1">
    <w:name w:val="Default Paragraph Font"/>
    <w:uiPriority w:val="1"/>
    <w:semiHidden/>
    <w:unhideWhenUsed/>
  </w:style>
  <w:style w:type="table" w:styleId="19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94" w:default="1">
    <w:name w:val="No List"/>
    <w:uiPriority w:val="99"/>
    <w:semiHidden/>
    <w:unhideWhenUsed/>
  </w:style>
  <w:style w:type="paragraph" w:styleId="195">
    <w:name w:val="Balloon Text"/>
    <w:basedOn w:val="182"/>
    <w:link w:val="196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styleId="196" w:customStyle="1">
    <w:name w:val="Texte de bulles Car"/>
    <w:basedOn w:val="192"/>
    <w:link w:val="195"/>
    <w:uiPriority w:val="99"/>
    <w:semiHidden/>
    <w:rPr>
      <w:rFonts w:ascii="Lucida Grande" w:hAnsi="Lucida Grande" w:cs="Lucida Grande"/>
      <w:sz w:val="18"/>
      <w:szCs w:val="18"/>
    </w:rPr>
  </w:style>
  <w:style w:type="paragraph" w:styleId="197">
    <w:name w:val="List Paragraph"/>
    <w:basedOn w:val="182"/>
    <w:qFormat/>
    <w:uiPriority w:val="34"/>
    <w:pPr>
      <w:contextualSpacing w:val="true"/>
      <w:ind w:left="720"/>
    </w:pPr>
  </w:style>
  <w:style w:type="character" w:styleId="198" w:customStyle="1">
    <w:name w:val="Titre 1 Car"/>
    <w:basedOn w:val="192"/>
    <w:link w:val="183"/>
    <w:rPr>
      <w:rFonts w:ascii="Arial Unicode MS" w:hAnsi="Arial Unicode MS" w:cs="Arial Unicode MS" w:eastAsia="Arial Unicode MS"/>
      <w:b/>
      <w:bCs/>
      <w:color w:val="000000"/>
      <w:sz w:val="48"/>
      <w:szCs w:val="48"/>
    </w:rPr>
  </w:style>
  <w:style w:type="character" w:styleId="199" w:customStyle="1">
    <w:name w:val="Titre 2 Car"/>
    <w:basedOn w:val="192"/>
    <w:link w:val="184"/>
    <w:rPr>
      <w:rFonts w:ascii="Arial" w:hAnsi="Arial" w:cs="Arial" w:eastAsia="Times New Roman"/>
      <w:b/>
      <w:bCs/>
      <w:i/>
      <w:iCs/>
      <w:sz w:val="28"/>
      <w:szCs w:val="28"/>
    </w:rPr>
  </w:style>
  <w:style w:type="character" w:styleId="200" w:customStyle="1">
    <w:name w:val="Titre 3 Car"/>
    <w:basedOn w:val="192"/>
    <w:link w:val="185"/>
    <w:rPr>
      <w:rFonts w:ascii="Arial" w:hAnsi="Arial" w:cs="Arial" w:eastAsia="Arial Unicode MS"/>
      <w:b/>
      <w:bCs/>
      <w:color w:val="000000"/>
      <w:sz w:val="27"/>
      <w:szCs w:val="27"/>
    </w:rPr>
  </w:style>
  <w:style w:type="character" w:styleId="201" w:customStyle="1">
    <w:name w:val="Titre 4 Car"/>
    <w:basedOn w:val="192"/>
    <w:link w:val="186"/>
    <w:rPr>
      <w:rFonts w:ascii="Arial" w:hAnsi="Arial" w:cs="Arial" w:eastAsia="Arial Unicode MS"/>
      <w:b/>
      <w:bCs/>
      <w:color w:val="000000"/>
      <w:sz w:val="20"/>
      <w:szCs w:val="20"/>
    </w:rPr>
  </w:style>
  <w:style w:type="character" w:styleId="202" w:customStyle="1">
    <w:name w:val="Titre 5 Car"/>
    <w:basedOn w:val="192"/>
    <w:link w:val="187"/>
    <w:rPr>
      <w:rFonts w:ascii="Times New Roman" w:hAnsi="Times New Roman" w:cs="Times New Roman" w:eastAsia="Times New Roman"/>
      <w:b/>
      <w:bCs/>
      <w:i/>
      <w:iCs/>
      <w:sz w:val="26"/>
      <w:szCs w:val="26"/>
    </w:rPr>
  </w:style>
  <w:style w:type="character" w:styleId="203" w:customStyle="1">
    <w:name w:val="Titre 6 Car"/>
    <w:basedOn w:val="192"/>
    <w:link w:val="188"/>
    <w:rPr>
      <w:rFonts w:ascii="Times New Roman" w:hAnsi="Times New Roman" w:cs="Times New Roman" w:eastAsia="Times New Roman"/>
      <w:b/>
      <w:bCs/>
      <w:sz w:val="22"/>
      <w:szCs w:val="22"/>
    </w:rPr>
  </w:style>
  <w:style w:type="character" w:styleId="204" w:customStyle="1">
    <w:name w:val="Titre 7 Car"/>
    <w:basedOn w:val="192"/>
    <w:link w:val="189"/>
    <w:rPr>
      <w:rFonts w:ascii="Times New Roman" w:hAnsi="Times New Roman" w:cs="Times New Roman" w:eastAsia="Times New Roman"/>
    </w:rPr>
  </w:style>
  <w:style w:type="character" w:styleId="205" w:customStyle="1">
    <w:name w:val="Titre 8 Car"/>
    <w:basedOn w:val="192"/>
    <w:link w:val="190"/>
    <w:rPr>
      <w:rFonts w:ascii="Times New Roman" w:hAnsi="Times New Roman" w:cs="Times New Roman" w:eastAsia="Times New Roman"/>
      <w:i/>
      <w:iCs/>
    </w:rPr>
  </w:style>
  <w:style w:type="character" w:styleId="206" w:customStyle="1">
    <w:name w:val="Titre 9 Car"/>
    <w:basedOn w:val="192"/>
    <w:link w:val="191"/>
    <w:rPr>
      <w:rFonts w:ascii="Arial" w:hAnsi="Arial" w:cs="Arial" w:eastAsia="Times New Roman"/>
      <w:sz w:val="22"/>
      <w:szCs w:val="22"/>
    </w:rPr>
  </w:style>
  <w:style w:type="paragraph" w:styleId="207">
    <w:name w:val="Body Text"/>
    <w:basedOn w:val="182"/>
    <w:link w:val="208"/>
    <w:semiHidden/>
    <w:rPr>
      <w:rFonts w:ascii="Arial" w:hAnsi="Arial" w:cs="Arial" w:eastAsia="Times New Roman"/>
      <w:sz w:val="20"/>
      <w:szCs w:val="20"/>
    </w:rPr>
    <w:pPr>
      <w:ind w:right="125"/>
      <w:jc w:val="both"/>
      <w:spacing w:afterAutospacing="1" w:beforeAutospacing="1"/>
    </w:pPr>
  </w:style>
  <w:style w:type="character" w:styleId="208" w:customStyle="1">
    <w:name w:val="Corps de texte Car"/>
    <w:basedOn w:val="192"/>
    <w:link w:val="207"/>
    <w:semiHidden/>
    <w:rPr>
      <w:rFonts w:ascii="Arial" w:hAnsi="Arial" w:cs="Arial" w:eastAsia="Times New Roman"/>
      <w:sz w:val="20"/>
      <w:szCs w:val="20"/>
    </w:rPr>
  </w:style>
  <w:style w:type="paragraph" w:styleId="209">
    <w:name w:val="Header"/>
    <w:basedOn w:val="182"/>
    <w:link w:val="210"/>
    <w:semiHidden/>
    <w:rPr>
      <w:rFonts w:ascii="Times New Roman" w:hAnsi="Times New Roman" w:cs="Times New Roman" w:eastAsia="Times New Roman"/>
    </w:rPr>
    <w:pPr>
      <w:tabs>
        <w:tab w:val="center" w:pos="4536" w:leader="none"/>
        <w:tab w:val="right" w:pos="9072" w:leader="none"/>
      </w:tabs>
    </w:pPr>
  </w:style>
  <w:style w:type="character" w:styleId="210" w:customStyle="1">
    <w:name w:val="En-tête Car"/>
    <w:basedOn w:val="192"/>
    <w:link w:val="209"/>
    <w:semiHidden/>
    <w:rPr>
      <w:rFonts w:ascii="Times New Roman" w:hAnsi="Times New Roman" w:cs="Times New Roman" w:eastAsia="Times New Roman"/>
    </w:rPr>
  </w:style>
  <w:style w:type="table" w:styleId="211">
    <w:name w:val="Table Grid"/>
    <w:basedOn w:val="193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Bureau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ONLYOFFICE/2.4.547.0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